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6105" w:rsidRDefault="00EE6105">
      <w:pPr>
        <w:pStyle w:val="a7"/>
        <w:tabs>
          <w:tab w:val="center" w:pos="4153"/>
          <w:tab w:val="left" w:pos="7275"/>
        </w:tabs>
        <w:spacing w:line="600" w:lineRule="exact"/>
        <w:ind w:firstLineChars="0" w:firstLine="0"/>
        <w:jc w:val="left"/>
        <w:rPr>
          <w:rFonts w:ascii="方正仿宋_GBK" w:eastAsia="方正仿宋_GBK" w:hint="eastAsia"/>
          <w:sz w:val="32"/>
          <w:szCs w:val="32"/>
        </w:rPr>
      </w:pPr>
      <w:bookmarkStart w:id="0" w:name="_GoBack"/>
      <w:bookmarkEnd w:id="0"/>
      <w:r>
        <w:rPr>
          <w:rFonts w:ascii="方正仿宋_GBK" w:eastAsia="方正仿宋_GBK" w:hint="eastAsia"/>
          <w:sz w:val="32"/>
          <w:szCs w:val="32"/>
        </w:rPr>
        <w:t>附件5</w:t>
      </w:r>
    </w:p>
    <w:p w:rsidR="00EE6105" w:rsidRDefault="00EE610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重庆市渝北区生产力</w:t>
      </w:r>
    </w:p>
    <w:p w:rsidR="00EE6105" w:rsidRDefault="00EE610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促进中心2023年单位预算情况说明</w:t>
      </w:r>
    </w:p>
    <w:p w:rsidR="00EE6105" w:rsidRDefault="00EE6105">
      <w:pPr>
        <w:spacing w:line="600" w:lineRule="exact"/>
        <w:ind w:firstLineChars="200" w:firstLine="880"/>
        <w:jc w:val="center"/>
        <w:rPr>
          <w:rFonts w:ascii="华文中宋" w:eastAsia="华文中宋" w:hAnsi="华文中宋" w:cs="华文中宋" w:hint="eastAsia"/>
          <w:sz w:val="44"/>
          <w:szCs w:val="44"/>
        </w:rPr>
      </w:pPr>
    </w:p>
    <w:p w:rsidR="00EE6105" w:rsidRDefault="00EE610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EE6105" w:rsidRDefault="00EE610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EE6105" w:rsidRDefault="00EE6105">
      <w:pPr>
        <w:snapToGrid w:val="0"/>
        <w:spacing w:line="520" w:lineRule="exact"/>
        <w:ind w:firstLineChars="200" w:firstLine="640"/>
        <w:rPr>
          <w:rFonts w:hint="eastAsia"/>
          <w:sz w:val="32"/>
          <w:szCs w:val="32"/>
        </w:rPr>
      </w:pPr>
      <w:r>
        <w:rPr>
          <w:rFonts w:ascii="方正楷体_GBK" w:eastAsia="方正楷体_GBK" w:hint="eastAsia"/>
          <w:bCs/>
          <w:sz w:val="32"/>
          <w:szCs w:val="32"/>
        </w:rPr>
        <w:t>1.科技信息服务。</w:t>
      </w:r>
      <w:r>
        <w:rPr>
          <w:rFonts w:hint="eastAsia"/>
          <w:sz w:val="32"/>
          <w:szCs w:val="32"/>
        </w:rPr>
        <w:t>主</w:t>
      </w:r>
      <w:r>
        <w:rPr>
          <w:sz w:val="32"/>
          <w:szCs w:val="32"/>
        </w:rPr>
        <w:t>要</w:t>
      </w:r>
      <w:r>
        <w:rPr>
          <w:rFonts w:hint="eastAsia"/>
          <w:sz w:val="32"/>
          <w:szCs w:val="32"/>
        </w:rPr>
        <w:t>包括渝北科技网站管护，科技信息（宣传）采集发布。</w:t>
      </w:r>
    </w:p>
    <w:p w:rsidR="00EE6105" w:rsidRDefault="00EE6105">
      <w:pPr>
        <w:snapToGrid w:val="0"/>
        <w:spacing w:line="520" w:lineRule="exact"/>
        <w:ind w:firstLineChars="200" w:firstLine="640"/>
        <w:rPr>
          <w:rFonts w:hint="eastAsia"/>
          <w:sz w:val="32"/>
          <w:szCs w:val="32"/>
        </w:rPr>
      </w:pPr>
      <w:r>
        <w:rPr>
          <w:rFonts w:ascii="方正楷体_GBK" w:eastAsia="方正楷体_GBK" w:hint="eastAsia"/>
          <w:bCs/>
          <w:sz w:val="32"/>
          <w:szCs w:val="32"/>
        </w:rPr>
        <w:t>2.科技咨询服务。</w:t>
      </w:r>
      <w:r>
        <w:rPr>
          <w:rFonts w:hint="eastAsia"/>
          <w:sz w:val="32"/>
          <w:szCs w:val="32"/>
        </w:rPr>
        <w:t>主要包括为企业和</w:t>
      </w:r>
      <w:r>
        <w:rPr>
          <w:sz w:val="32"/>
          <w:szCs w:val="32"/>
        </w:rPr>
        <w:t>有关单位提供技术、管理、政策法规等咨询服务与顾问服务。</w:t>
      </w:r>
    </w:p>
    <w:p w:rsidR="00EE6105" w:rsidRDefault="00EE6105">
      <w:pPr>
        <w:snapToGrid w:val="0"/>
        <w:spacing w:line="520" w:lineRule="exact"/>
        <w:ind w:firstLineChars="200" w:firstLine="640"/>
        <w:rPr>
          <w:rFonts w:hint="eastAsia"/>
          <w:sz w:val="32"/>
          <w:szCs w:val="32"/>
        </w:rPr>
      </w:pPr>
      <w:r>
        <w:rPr>
          <w:rFonts w:ascii="方正楷体_GBK" w:eastAsia="方正楷体_GBK" w:hint="eastAsia"/>
          <w:bCs/>
          <w:sz w:val="32"/>
          <w:szCs w:val="32"/>
        </w:rPr>
        <w:t>3.科技技术服务。</w:t>
      </w:r>
      <w:r>
        <w:rPr>
          <w:rFonts w:hint="eastAsia"/>
          <w:sz w:val="32"/>
          <w:szCs w:val="32"/>
        </w:rPr>
        <w:t>主要包括</w:t>
      </w:r>
      <w:r>
        <w:rPr>
          <w:sz w:val="32"/>
          <w:szCs w:val="32"/>
        </w:rPr>
        <w:t>组织新技术（包括管理技术）的开发应用、示范和推广，为企业导入先进适用的技术，并提供技术支持服务。</w:t>
      </w:r>
    </w:p>
    <w:p w:rsidR="00EE6105" w:rsidRDefault="00EE6105">
      <w:pPr>
        <w:snapToGrid w:val="0"/>
        <w:spacing w:line="520" w:lineRule="exact"/>
        <w:ind w:firstLineChars="200" w:firstLine="640"/>
        <w:rPr>
          <w:rFonts w:hint="eastAsia"/>
          <w:sz w:val="32"/>
          <w:szCs w:val="32"/>
        </w:rPr>
      </w:pPr>
      <w:r>
        <w:rPr>
          <w:rFonts w:ascii="方正楷体_GBK" w:eastAsia="方正楷体_GBK" w:hint="eastAsia"/>
          <w:bCs/>
          <w:sz w:val="32"/>
          <w:szCs w:val="32"/>
        </w:rPr>
        <w:t>4.科技培训服务。</w:t>
      </w:r>
      <w:r>
        <w:rPr>
          <w:rFonts w:hint="eastAsia"/>
          <w:sz w:val="32"/>
          <w:szCs w:val="32"/>
        </w:rPr>
        <w:t>主要包括</w:t>
      </w:r>
      <w:r>
        <w:rPr>
          <w:sz w:val="32"/>
          <w:szCs w:val="32"/>
        </w:rPr>
        <w:t>为企业</w:t>
      </w:r>
      <w:r>
        <w:rPr>
          <w:rFonts w:hint="eastAsia"/>
          <w:sz w:val="32"/>
          <w:szCs w:val="32"/>
        </w:rPr>
        <w:t>和有关单位</w:t>
      </w:r>
      <w:r>
        <w:rPr>
          <w:sz w:val="32"/>
          <w:szCs w:val="32"/>
        </w:rPr>
        <w:t>提供技术、</w:t>
      </w:r>
      <w:r>
        <w:rPr>
          <w:rFonts w:hint="eastAsia"/>
          <w:sz w:val="32"/>
          <w:szCs w:val="32"/>
        </w:rPr>
        <w:t>人才、</w:t>
      </w:r>
      <w:r>
        <w:rPr>
          <w:sz w:val="32"/>
          <w:szCs w:val="32"/>
        </w:rPr>
        <w:t>管理等方面的教育与</w:t>
      </w:r>
      <w:r>
        <w:rPr>
          <w:rFonts w:hint="eastAsia"/>
          <w:sz w:val="32"/>
          <w:szCs w:val="32"/>
        </w:rPr>
        <w:t>培训</w:t>
      </w:r>
      <w:r>
        <w:rPr>
          <w:sz w:val="32"/>
          <w:szCs w:val="32"/>
        </w:rPr>
        <w:t>服务。</w:t>
      </w:r>
    </w:p>
    <w:p w:rsidR="00EE6105" w:rsidRDefault="00EE6105">
      <w:pPr>
        <w:snapToGrid w:val="0"/>
        <w:spacing w:line="520" w:lineRule="exact"/>
        <w:ind w:firstLineChars="200" w:firstLine="640"/>
        <w:rPr>
          <w:rFonts w:hint="eastAsia"/>
          <w:sz w:val="32"/>
          <w:szCs w:val="32"/>
        </w:rPr>
      </w:pPr>
      <w:r>
        <w:rPr>
          <w:rFonts w:ascii="方正楷体_GBK" w:eastAsia="方正楷体_GBK" w:hint="eastAsia"/>
          <w:bCs/>
          <w:sz w:val="32"/>
          <w:szCs w:val="32"/>
        </w:rPr>
        <w:t>5.科技交流合作。</w:t>
      </w:r>
      <w:r>
        <w:rPr>
          <w:rFonts w:hint="eastAsia"/>
          <w:sz w:val="32"/>
          <w:szCs w:val="32"/>
        </w:rPr>
        <w:t>主要包括</w:t>
      </w:r>
      <w:r>
        <w:rPr>
          <w:sz w:val="32"/>
          <w:szCs w:val="32"/>
        </w:rPr>
        <w:t>协助企业开拓国际</w:t>
      </w:r>
      <w:r>
        <w:rPr>
          <w:rFonts w:hint="eastAsia"/>
          <w:sz w:val="32"/>
          <w:szCs w:val="32"/>
        </w:rPr>
        <w:t>、国内</w:t>
      </w:r>
      <w:r>
        <w:rPr>
          <w:sz w:val="32"/>
          <w:szCs w:val="32"/>
        </w:rPr>
        <w:t>合作渠道</w:t>
      </w:r>
      <w:r>
        <w:rPr>
          <w:rFonts w:hint="eastAsia"/>
          <w:sz w:val="32"/>
          <w:szCs w:val="32"/>
        </w:rPr>
        <w:t>，促进产学研结合及科技成果转化。</w:t>
      </w:r>
    </w:p>
    <w:p w:rsidR="00EE6105" w:rsidRDefault="00EE6105">
      <w:pPr>
        <w:snapToGrid w:val="0"/>
        <w:spacing w:line="520" w:lineRule="exact"/>
        <w:ind w:firstLineChars="200" w:firstLine="640"/>
        <w:rPr>
          <w:rFonts w:hint="eastAsia"/>
          <w:sz w:val="32"/>
          <w:szCs w:val="32"/>
        </w:rPr>
      </w:pPr>
      <w:r>
        <w:rPr>
          <w:rFonts w:ascii="方正楷体_GBK" w:eastAsia="方正楷体_GBK" w:hint="eastAsia"/>
          <w:bCs/>
          <w:sz w:val="32"/>
          <w:szCs w:val="32"/>
        </w:rPr>
        <w:t>6.科技创新服务。</w:t>
      </w:r>
      <w:r>
        <w:rPr>
          <w:rFonts w:hint="eastAsia"/>
          <w:sz w:val="32"/>
          <w:szCs w:val="32"/>
        </w:rPr>
        <w:t>主要包括</w:t>
      </w:r>
      <w:r>
        <w:rPr>
          <w:sz w:val="32"/>
          <w:szCs w:val="32"/>
        </w:rPr>
        <w:t>为科技型企业创业提供孵化服务</w:t>
      </w:r>
      <w:r>
        <w:rPr>
          <w:rFonts w:hint="eastAsia"/>
          <w:sz w:val="32"/>
          <w:szCs w:val="32"/>
        </w:rPr>
        <w:t>，</w:t>
      </w:r>
      <w:r>
        <w:rPr>
          <w:sz w:val="32"/>
          <w:szCs w:val="32"/>
        </w:rPr>
        <w:t>市场营销</w:t>
      </w:r>
      <w:r>
        <w:rPr>
          <w:rFonts w:hint="eastAsia"/>
          <w:sz w:val="32"/>
          <w:szCs w:val="32"/>
        </w:rPr>
        <w:t>，</w:t>
      </w:r>
      <w:r>
        <w:rPr>
          <w:sz w:val="32"/>
          <w:szCs w:val="32"/>
        </w:rPr>
        <w:t>投资融资</w:t>
      </w:r>
      <w:r>
        <w:rPr>
          <w:rFonts w:hint="eastAsia"/>
          <w:sz w:val="32"/>
          <w:szCs w:val="32"/>
        </w:rPr>
        <w:t>，</w:t>
      </w:r>
      <w:r>
        <w:rPr>
          <w:sz w:val="32"/>
          <w:szCs w:val="32"/>
        </w:rPr>
        <w:t>贷款担保</w:t>
      </w:r>
      <w:r>
        <w:rPr>
          <w:rFonts w:hint="eastAsia"/>
          <w:sz w:val="32"/>
          <w:szCs w:val="32"/>
        </w:rPr>
        <w:t>，</w:t>
      </w:r>
      <w:r>
        <w:rPr>
          <w:sz w:val="32"/>
          <w:szCs w:val="32"/>
        </w:rPr>
        <w:t>产权交易</w:t>
      </w:r>
      <w:r>
        <w:rPr>
          <w:rFonts w:hint="eastAsia"/>
          <w:sz w:val="32"/>
          <w:szCs w:val="32"/>
        </w:rPr>
        <w:t>等服务。</w:t>
      </w:r>
    </w:p>
    <w:p w:rsidR="00EE6105" w:rsidRDefault="00EE6105">
      <w:pPr>
        <w:pStyle w:val="a7"/>
        <w:tabs>
          <w:tab w:val="center" w:pos="4153"/>
          <w:tab w:val="left" w:pos="7275"/>
        </w:tabs>
        <w:spacing w:line="600" w:lineRule="exact"/>
        <w:ind w:left="640" w:firstLineChars="0" w:firstLine="0"/>
        <w:jc w:val="left"/>
        <w:rPr>
          <w:sz w:val="32"/>
          <w:szCs w:val="32"/>
        </w:rPr>
      </w:pPr>
      <w:r>
        <w:rPr>
          <w:rFonts w:eastAsia="方正楷体_GBK" w:hint="eastAsia"/>
          <w:bCs/>
          <w:sz w:val="32"/>
          <w:szCs w:val="32"/>
        </w:rPr>
        <w:t>7.</w:t>
      </w:r>
      <w:r>
        <w:rPr>
          <w:rFonts w:eastAsia="方正楷体_GBK"/>
          <w:bCs/>
          <w:sz w:val="32"/>
          <w:szCs w:val="32"/>
        </w:rPr>
        <w:t>内部运行管理工作</w:t>
      </w:r>
      <w:r>
        <w:rPr>
          <w:rFonts w:eastAsia="方正楷体_GBK" w:hint="eastAsia"/>
          <w:bCs/>
          <w:sz w:val="32"/>
          <w:szCs w:val="32"/>
        </w:rPr>
        <w:t>。</w:t>
      </w:r>
      <w:r>
        <w:rPr>
          <w:sz w:val="32"/>
          <w:szCs w:val="32"/>
        </w:rPr>
        <w:t>主要包括日常运营、维护</w:t>
      </w:r>
      <w:r>
        <w:rPr>
          <w:rFonts w:hint="eastAsia"/>
          <w:sz w:val="32"/>
          <w:szCs w:val="32"/>
        </w:rPr>
        <w:t>（基础设施维护、安全保卫、物业管理等）</w:t>
      </w:r>
      <w:r>
        <w:rPr>
          <w:sz w:val="32"/>
          <w:szCs w:val="32"/>
        </w:rPr>
        <w:t>，单位内部人事、财务等管理工作。</w:t>
      </w:r>
    </w:p>
    <w:p w:rsidR="00EE6105" w:rsidRDefault="00EE6105">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EE6105" w:rsidRDefault="00EE6105">
      <w:pPr>
        <w:spacing w:line="600" w:lineRule="exact"/>
        <w:ind w:firstLineChars="200" w:firstLine="640"/>
        <w:rPr>
          <w:rFonts w:ascii="方正仿宋_GBK" w:eastAsia="方正仿宋_GBK" w:hAnsi="仿宋_GB2312" w:cs="仿宋_GB2312" w:hint="eastAsia"/>
          <w:sz w:val="32"/>
        </w:rPr>
      </w:pPr>
      <w:r>
        <w:rPr>
          <w:rFonts w:ascii="仿宋_GB2312" w:eastAsia="仿宋_GB2312" w:hAnsi="仿宋_GB2312" w:cs="仿宋_GB2312" w:hint="eastAsia"/>
          <w:sz w:val="32"/>
        </w:rPr>
        <w:t>重庆市渝北区生产力促进中心由7个在编人员组成，属于科</w:t>
      </w:r>
      <w:r>
        <w:rPr>
          <w:rFonts w:ascii="仿宋_GB2312" w:eastAsia="仿宋_GB2312" w:hAnsi="仿宋_GB2312" w:cs="仿宋_GB2312" w:hint="eastAsia"/>
          <w:sz w:val="32"/>
        </w:rPr>
        <w:lastRenderedPageBreak/>
        <w:t>技事业单位。</w:t>
      </w:r>
    </w:p>
    <w:p w:rsidR="00EE6105" w:rsidRDefault="00EE610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EE6105" w:rsidRDefault="00EE610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（一）收入预算：2023年年初预算数1,850,929.40 元，其中：一般公共预算财政拨款收入1,850,929.40 元，政府性基金预算财政拨款收入 0元，国有资本经营预算财政拨款收入 0元，事业收入0 元，事业单位经营收入 0元，其他收入 0元。收入较2022年减少240,731.11元，主要是财政压减预算，基本支出和项目支出都有压减。</w:t>
      </w:r>
    </w:p>
    <w:p w:rsidR="00EE6105" w:rsidRDefault="00EE610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（二）支出预算：2023年年初预算数1,850,929.40 元，其中：一般公共服务支出预算1,850,929.40 元，科学技术支出1,604，875.48，社会保障和就业支出预算122,532.48 元，卫生健康支出预算62,255.20 元，住房保障支出预算61,266.24 元。支出预算较2022年减少240,731.11 元，主要是基本支出预算减少90,731.11 元，项目支出预算减少150,000.00 元。</w:t>
      </w:r>
    </w:p>
    <w:p w:rsidR="00EE6105" w:rsidRDefault="00EE6105">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EE6105" w:rsidRDefault="00EE610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2023年一般公共预算财政拨款收入1,850,929.40</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元，一般公共预算财政拨款支出1,850,929.40元，比2022年减少240,731.11  元。其中：基本支出1,500,929.40元，比2022年减少 90,731.11元，主要原因是财政压缩公用经费等，主要用于保障基本工资、津补贴、绩效工资、养老保险、医保、年金等在职人员工资福利及社会保险缴费，离休人员离休费，退休人员补助等，保障单位正常运转的各项商品服务支出；项目支出350，000.00元，比2022年减少150,000.00元，主要原因是财政压缩项目支出，主要用于</w:t>
      </w:r>
      <w:r>
        <w:rPr>
          <w:rFonts w:ascii="方正仿宋_GBK" w:eastAsia="方正仿宋_GBK" w:hAnsi="仿宋_GB2312" w:cs="仿宋_GB2312" w:hint="eastAsia"/>
          <w:sz w:val="32"/>
        </w:rPr>
        <w:lastRenderedPageBreak/>
        <w:t>科技经融服务和临聘人员经费等重点工作。</w:t>
      </w:r>
    </w:p>
    <w:p w:rsidR="00EE6105" w:rsidRDefault="00EE610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重庆市渝北区生产力促进中心2023年无使用政府性基金预算拨款安排的支出”。</w:t>
      </w:r>
    </w:p>
    <w:p w:rsidR="00EE6105" w:rsidRDefault="00EE6105">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EE6105" w:rsidRDefault="00EE6105">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 0 元，比2022年减少(或增加) 0 元。其中：因公出国（境）费用0  元，比2022年减少(或增加) 0 元，主要原因是本单位没有预算因公出国（境）费用经费；公务接待费0 元，比2022年减少(或增加)  0元，主要原因是本单位没有预算公务接待费；公务用车运行维护费0 元，比2022年减少(或增加)0元，主要原因是本单位没有公务车；公务用车购置费 0  元，比2022年减少(或增加)  0 元；主要原因是本单位无购置车辆计划。</w:t>
      </w:r>
    </w:p>
    <w:p w:rsidR="00EE6105" w:rsidRDefault="00EE610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EE6105" w:rsidRDefault="00EE610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p>
    <w:p w:rsidR="00EE6105" w:rsidRDefault="00EE6105">
      <w:pPr>
        <w:ind w:firstLineChars="200" w:firstLine="640"/>
        <w:rPr>
          <w:rFonts w:ascii="方正仿宋_GBK" w:eastAsia="方正仿宋_GBK" w:hAnsi="仿宋_GB2312" w:cs="仿宋_GB2312" w:hint="eastAsia"/>
          <w:sz w:val="32"/>
        </w:rPr>
      </w:pP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EE6105" w:rsidRDefault="00EE610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2、政府采购情况。本单位政府采购预算总额 0 元：政府采购货物预算 0 元、政府采购工程预算  0元、政府采购服务预算  元；其中一般公共预算财政拨款政府采购  0元：政府采购货物预算0  元、政府采购工程预算  0元、政府采购服务预算 0 元。</w:t>
      </w:r>
    </w:p>
    <w:p w:rsidR="00EE6105" w:rsidRDefault="00EE6105">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2023年项目支出均实行了绩效目标管理，涉及一般公共预算当年财政拨款 350,000.00元。</w:t>
      </w:r>
    </w:p>
    <w:p w:rsidR="00EE6105" w:rsidRDefault="00EE6105">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w:t>
      </w:r>
      <w:r>
        <w:rPr>
          <w:rFonts w:ascii="方正仿宋_GBK" w:eastAsia="方正仿宋_GBK" w:hAnsi="仿宋_GB2312" w:cs="仿宋_GB2312" w:hint="eastAsia"/>
          <w:color w:val="000000"/>
          <w:sz w:val="32"/>
        </w:rPr>
        <w:lastRenderedPageBreak/>
        <w:t>车辆0 辆，其中一般公务用车 0辆、执勤执法用车0 辆。2023年一般公共预算安排购置车辆 0辆，其中一般公务用车0 辆、执勤执法用车0 辆。</w:t>
      </w:r>
    </w:p>
    <w:p w:rsidR="00EE6105" w:rsidRDefault="00EE610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专业性名词解释</w:t>
      </w:r>
    </w:p>
    <w:p w:rsidR="00EE6105" w:rsidRDefault="00EE610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EE6105" w:rsidRDefault="00EE610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EE6105" w:rsidRDefault="00EE610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EE6105" w:rsidRDefault="00EE610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EE6105" w:rsidRDefault="00EE6105">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E6105" w:rsidRDefault="00EE6105">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EE6105" w:rsidRDefault="00EE6105">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单位预算公开联系人：曾陈英</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023-67808759</w:t>
      </w:r>
    </w:p>
    <w:sectPr w:rsidR="00EE6105">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42" w:rsidRDefault="00983142" w:rsidP="00C83737">
      <w:r>
        <w:separator/>
      </w:r>
    </w:p>
  </w:endnote>
  <w:endnote w:type="continuationSeparator" w:id="0">
    <w:p w:rsidR="00983142" w:rsidRDefault="00983142" w:rsidP="00C8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42" w:rsidRDefault="00983142" w:rsidP="00C83737">
      <w:r>
        <w:separator/>
      </w:r>
    </w:p>
  </w:footnote>
  <w:footnote w:type="continuationSeparator" w:id="0">
    <w:p w:rsidR="00983142" w:rsidRDefault="00983142" w:rsidP="00C83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2JhNjczOWUzODY4NDgwOTBiNTI4MDZmOGNiZDAifQ=="/>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A5968"/>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3142"/>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83737"/>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E6105"/>
    <w:rsid w:val="00EF1B14"/>
    <w:rsid w:val="00EF4D65"/>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05F477B7"/>
    <w:rsid w:val="06170970"/>
    <w:rsid w:val="18CC21E2"/>
    <w:rsid w:val="19D75DEA"/>
    <w:rsid w:val="1D8B5D36"/>
    <w:rsid w:val="211B1C44"/>
    <w:rsid w:val="3724764D"/>
    <w:rsid w:val="3BC5739B"/>
    <w:rsid w:val="48310C7F"/>
    <w:rsid w:val="4A01311C"/>
    <w:rsid w:val="50F1639A"/>
    <w:rsid w:val="5847689F"/>
    <w:rsid w:val="65A11CE5"/>
    <w:rsid w:val="73C80D84"/>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1881</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2022-01-29T09:20:00Z</cp:lastPrinted>
  <dcterms:created xsi:type="dcterms:W3CDTF">2023-03-15T01:23:00Z</dcterms:created>
  <dcterms:modified xsi:type="dcterms:W3CDTF">2023-03-15T01:23:00Z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3112C03F006B499BA1C704030E05E342</vt:lpwstr>
  </property>
</Properties>
</file>