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渝北教发〔202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渝北区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关于印发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渝北区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首届中小学地方音乐微课评选活动方案的通知</w:t>
      </w:r>
    </w:p>
    <w:p/>
    <w:p>
      <w:pPr>
        <w:spacing w:line="600" w:lineRule="exact"/>
        <w:rPr>
          <w:rFonts w:hint="eastAsia" w:ascii="方正楷体_GBK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  <w:lang w:eastAsia="zh-CN"/>
        </w:rPr>
        <w:t>各中小学校、</w:t>
      </w: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  <w:lang w:val="en-US" w:eastAsia="zh-CN"/>
        </w:rPr>
        <w:t>教师进修学院</w:t>
      </w: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方正楷体_GBK" w:hAnsi="Times New Roman" w:eastAsia="方正楷体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《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eastAsia="zh-CN"/>
        </w:rPr>
        <w:t>渝北区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首届中小学地方音乐微课评选活动方案》已经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eastAsia="zh-CN"/>
        </w:rPr>
        <w:t>区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教委领导同意，现印发给你们，请认真组织实施。</w:t>
      </w: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right"/>
        <w:rPr>
          <w:rFonts w:hint="eastAsia" w:ascii="方正楷体_GBK" w:hAnsi="Times New Roman" w:eastAsia="方正楷体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重庆市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eastAsia="zh-CN"/>
        </w:rPr>
        <w:t>渝北区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教育委员会</w:t>
      </w: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2023年</w:t>
      </w:r>
      <w:r>
        <w:rPr>
          <w:rFonts w:hint="eastAsia" w:ascii="方正楷体_GBK" w:hAnsi="Times New Roman" w:eastAsia="方正楷体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月</w:t>
      </w:r>
      <w:r>
        <w:rPr>
          <w:rFonts w:hint="default" w:ascii="方正楷体_GBK" w:hAnsi="Times New Roman" w:eastAsia="方正楷体_GBK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方正楷体_GBK" w:hAnsi="Times New Roman" w:eastAsia="方正楷体_GBK"/>
          <w:color w:val="000000"/>
          <w:sz w:val="32"/>
          <w:szCs w:val="32"/>
        </w:rPr>
        <w:t>日</w:t>
      </w: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渝北区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首届中小学地方音乐微课评选活动方案</w:t>
      </w: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为认真贯彻中共重庆市委办公厅、重庆市人民政府办公厅关于印发《重庆市全面加强和改进新时代学校美育工作的若干举措》的通知（渝委办发〔2021〕29号）精神，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根据重庆市教育委员会关于印发《首届中小学地方音乐微课评选活动方案》的通知（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渝教体卫艺函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〔2023〕12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号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）要求，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落实立德树人的根本任务，培育和践行社会主义核心价值观，着力加强社会主义先进文化、革命文化、中华优秀传统文化的教育，以“传唱巴音渝韵、传承红岩精神”为主要内容，进一步推动我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美育课程改革，根据工作安排，决定举办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渝北区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首届地方音乐微课评选活动。特制定本方案。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一、组织机构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渝北区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教育委员会</w:t>
      </w:r>
    </w:p>
    <w:p>
      <w:pPr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重庆市渝北区教师进修学院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二、时间安排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即日起至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2023年4月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初，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学校</w:t>
      </w:r>
      <w:r>
        <w:rPr>
          <w:rFonts w:ascii="Times New Roman" w:hAnsi="Times New Roman" w:eastAsia="方正仿宋_GBK"/>
          <w:color w:val="000000"/>
          <w:sz w:val="32"/>
          <w:szCs w:val="32"/>
        </w:rPr>
        <w:t>自行组织开展评选活动，选送优秀课例参加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级评选。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2023年4月中下旬，区级集中评选。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（三）2023年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6月，市级集中评选。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三、参评对象及办法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（一）在职在岗的小学、中学（含高中）音乐教师。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）每校限报1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至3</w:t>
      </w:r>
      <w:r>
        <w:rPr>
          <w:rFonts w:ascii="Times New Roman" w:hAnsi="Times New Roman" w:eastAsia="方正仿宋_GBK"/>
          <w:color w:val="000000"/>
          <w:sz w:val="32"/>
          <w:szCs w:val="32"/>
        </w:rPr>
        <w:t>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。九年一贯制学校中学组和小学组可兼报，高完中学校初中组和高中组可兼报。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四、参评内容及授课对象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（一）革命文化，包括表现红岩文化、红岩精神的儿歌、童谣、歌曲、器乐曲、影视音乐、戏剧、戏曲等。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（二）重庆地区本土音乐与舞蹈资源，民族民间传统音乐文化，包括童谣、民歌、吹打、舞蹈，以及地方戏剧戏曲（川剧、地方戏、金钱板）等。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（三）授课对象为中小学生。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五、评选方式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以课堂实录的方式进行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级视频评选。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六、奖项设置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本次评选活动按小学、中学、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高中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分组进行评选，设个人一、二等奖，获得一等奖的课例设一名指导教师奖。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七、相关要求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学校</w:t>
      </w:r>
      <w:r>
        <w:rPr>
          <w:rFonts w:ascii="Times New Roman" w:hAnsi="Times New Roman" w:eastAsia="方正仿宋_GBK"/>
          <w:color w:val="000000"/>
          <w:sz w:val="32"/>
          <w:szCs w:val="32"/>
        </w:rPr>
        <w:t>要高度重视，认真组织，实施《新时代基础教育强师计划》，在广泛开展现场或视频评选活动的基础上，推选出优秀选手参加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级评选。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（二）微课时长为10-15分钟，要求图像清晰、声音清楚、内容真实，视频容量小于300MB，分辨率不低于720P，格式为mp4。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（三）请各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学校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于2023年4月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日前，将微课视频和扫描的纸质资料统一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报送邮箱：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twk208@163.com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。联系方式：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邬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涵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67811265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。纸质资料包括：加盖公章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报送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表（见附件1）、教案及指导教师点评资料（见附件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（四）本次评选的所有资源及教学课例，主办单位有权择优推荐展示、分享或选编入册推广。若有版权维护者，请在上交资料时附个人版权声明。</w:t>
      </w: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ind w:firstLine="592" w:firstLineChars="200"/>
        <w:rPr>
          <w:rFonts w:ascii="Times New Roman" w:hAnsi="Times New Roman" w:eastAsia="方正仿宋_GBK"/>
          <w:color w:val="000000"/>
          <w:spacing w:val="-12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-12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color w:val="000000"/>
          <w:spacing w:val="-12"/>
          <w:sz w:val="32"/>
          <w:szCs w:val="32"/>
          <w:lang w:eastAsia="zh-CN"/>
        </w:rPr>
        <w:t>渝北区</w:t>
      </w:r>
      <w:r>
        <w:rPr>
          <w:rFonts w:ascii="Times New Roman" w:hAnsi="Times New Roman" w:eastAsia="方正仿宋_GBK"/>
          <w:color w:val="000000"/>
          <w:spacing w:val="-12"/>
          <w:sz w:val="32"/>
          <w:szCs w:val="32"/>
        </w:rPr>
        <w:t>首届中小学地方音乐微课评选活动</w:t>
      </w:r>
      <w:r>
        <w:rPr>
          <w:rFonts w:hint="eastAsia" w:ascii="Times New Roman" w:hAnsi="Times New Roman" w:eastAsia="方正仿宋_GBK"/>
          <w:color w:val="000000"/>
          <w:spacing w:val="-12"/>
          <w:sz w:val="32"/>
          <w:szCs w:val="32"/>
          <w:lang w:eastAsia="zh-CN"/>
        </w:rPr>
        <w:t>报送</w:t>
      </w:r>
      <w:r>
        <w:rPr>
          <w:rFonts w:ascii="Times New Roman" w:hAnsi="Times New Roman" w:eastAsia="方正仿宋_GBK"/>
          <w:color w:val="000000"/>
          <w:spacing w:val="-12"/>
          <w:sz w:val="32"/>
          <w:szCs w:val="32"/>
        </w:rPr>
        <w:t>表</w:t>
      </w:r>
    </w:p>
    <w:p>
      <w:pPr>
        <w:spacing w:line="600" w:lineRule="exact"/>
        <w:ind w:firstLine="1480" w:firstLineChars="500"/>
        <w:rPr>
          <w:rFonts w:hint="eastAsia" w:ascii="方正楷体_GBK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-12"/>
          <w:sz w:val="32"/>
          <w:szCs w:val="32"/>
        </w:rPr>
        <w:t>2.</w:t>
      </w:r>
      <w:r>
        <w:rPr>
          <w:rFonts w:hint="eastAsia" w:ascii="Times New Roman" w:hAnsi="Times New Roman" w:eastAsia="方正仿宋_GBK"/>
          <w:color w:val="000000"/>
          <w:spacing w:val="-12"/>
          <w:sz w:val="32"/>
          <w:szCs w:val="32"/>
          <w:lang w:eastAsia="zh-CN"/>
        </w:rPr>
        <w:t>渝北区</w:t>
      </w:r>
      <w:r>
        <w:rPr>
          <w:rFonts w:ascii="Times New Roman" w:hAnsi="Times New Roman" w:eastAsia="方正仿宋_GBK"/>
          <w:color w:val="000000"/>
          <w:spacing w:val="-12"/>
          <w:sz w:val="32"/>
          <w:szCs w:val="32"/>
        </w:rPr>
        <w:t>首届中小学地方音乐微课评选活动教案模板</w:t>
      </w: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楷体_GBK" w:hAnsi="Times New Roman" w:eastAsia="方正楷体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方正楷体_GBK" w:hAnsi="Times New Roman" w:eastAsia="方正楷体_GBK" w:cs="Times New Roman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渝北区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首届中小学地方音乐微课评选活动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报送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p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送报学校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（盖章）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</w:p>
    <w:tbl>
      <w:tblPr>
        <w:tblStyle w:val="3"/>
        <w:tblpPr w:leftFromText="180" w:rightFromText="180" w:vertAnchor="text" w:horzAnchor="page" w:tblpX="1695" w:tblpY="627"/>
        <w:tblOverlap w:val="never"/>
        <w:tblW w:w="13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2180"/>
        <w:gridCol w:w="2306"/>
        <w:gridCol w:w="1061"/>
        <w:gridCol w:w="2996"/>
        <w:gridCol w:w="1814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课题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指导教师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（限报1名）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渝北区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首届中小学地方音乐微课评选活动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教案模板</w:t>
      </w:r>
    </w:p>
    <w:p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  <w:lang w:eastAsia="zh-CN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课题名称</w:t>
      </w:r>
      <w:r>
        <w:rPr>
          <w:rFonts w:hint="eastAsia" w:ascii="Times New Roman" w:hAnsi="Times New Roman" w:eastAsia="方正仿宋_GBK"/>
          <w:color w:val="000000"/>
          <w:sz w:val="30"/>
          <w:szCs w:val="30"/>
          <w:lang w:eastAsia="zh-CN"/>
        </w:rPr>
        <w:t>：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 xml:space="preserve">学校：               姓名：    </w:t>
      </w:r>
      <w:r>
        <w:rPr>
          <w:rFonts w:hint="eastAsia" w:ascii="Times New Roman" w:hAnsi="Times New Roman" w:eastAsia="方正仿宋_GBK"/>
          <w:color w:val="000000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000000"/>
          <w:sz w:val="30"/>
          <w:szCs w:val="30"/>
        </w:rPr>
        <w:t xml:space="preserve">性别：     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 xml:space="preserve">上课年级：                         内容：红岩/巴音渝韵 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一、课型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唱游、欣赏、综合等。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二、作品分析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（一）作品背景。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（二）作品要素。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（三）作品解读。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三、学情分析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本年段学生的身心特点，素养及能力等。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四、教学目标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根据学生情况、课标要求、教学内容等指定切实可行的教学目标。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五、教学方法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（一）符合学科学习原则的教学方法。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（二）助力学生成长与发展亮点的教学方法。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六、教学重难点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根据教学内容确定真实而具体的重难点。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七、教学准备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（一）上课所使用的器材设备。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（二）需要学生准备的内容。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八、教学流程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（一）板块清晰、分步罗列，体现教与学的完整过程。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（二）每步中需要详细标明教师活动、学生活动、设计意图。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（三）教学中应关注学生对知识技能的运用与编创。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（四）过程中通过评价引导学生素养的养成。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九、板书设计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简洁明确、突出重点。</w:t>
      </w:r>
    </w:p>
    <w:p>
      <w:pPr>
        <w:spacing w:line="600" w:lineRule="exact"/>
        <w:ind w:firstLine="600" w:firstLineChars="200"/>
        <w:rPr>
          <w:rFonts w:ascii="Times New Roman" w:hAnsi="Times New Roman" w:eastAsia="方正黑体_GBK"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十、课后点评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（一）本人执教体会。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（二）指导教师围绕上课的优点亮点、不足及建议等进行点评。</w:t>
      </w:r>
    </w:p>
    <w:p>
      <w:pPr>
        <w:spacing w:line="600" w:lineRule="exact"/>
        <w:ind w:firstLine="600" w:firstLineChars="20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仿宋_GBK"/>
          <w:color w:val="000000"/>
          <w:sz w:val="30"/>
          <w:szCs w:val="30"/>
        </w:rPr>
        <w:t>注：以上教学设计模板为建议格式，格式不做统一要求，参赛教师可根据需要做优化调整，可用文字描述式教案也可用表格式教案。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mYzMTQxN2M5MWNkMTZjYjYwMWNiNjBiZTI4NjIifQ=="/>
  </w:docVars>
  <w:rsids>
    <w:rsidRoot w:val="6CA44E07"/>
    <w:rsid w:val="04E2275A"/>
    <w:rsid w:val="3FCE3A39"/>
    <w:rsid w:val="416D399E"/>
    <w:rsid w:val="537E1B4E"/>
    <w:rsid w:val="6CA44E07"/>
    <w:rsid w:val="737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1642</Words>
  <Characters>1706</Characters>
  <Lines>0</Lines>
  <Paragraphs>0</Paragraphs>
  <TotalTime>21</TotalTime>
  <ScaleCrop>false</ScaleCrop>
  <LinksUpToDate>false</LinksUpToDate>
  <CharactersWithSpaces>1799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2023-03-07T06:43:00Z</dcterms:created>
  <dc:creator>i</dc:creator>
  <cp:lastModifiedBy>聆溪临曦。</cp:lastModifiedBy>
  <dcterms:modified xsi:type="dcterms:W3CDTF">2023-03-13T02:15:40Z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47E583A224E94E8C8C595A5D8F137F19</vt:lpwstr>
  </property>
</Properties>
</file>