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eastAsia="方正小标宋_GBK"/>
          <w:color w:val="000000"/>
          <w:sz w:val="44"/>
          <w:szCs w:val="44"/>
          <w:lang w:val="en-US" w:eastAsia="zh-CN"/>
        </w:rPr>
      </w:pPr>
      <w:r>
        <w:rPr>
          <w:rFonts w:hint="eastAsia" w:eastAsia="方正小标宋_GBK"/>
          <w:color w:val="000000"/>
          <w:sz w:val="44"/>
          <w:szCs w:val="44"/>
          <w:lang w:val="en-US" w:eastAsia="zh-CN"/>
        </w:rPr>
        <w:t>重庆市渝北区交通局</w:t>
      </w:r>
    </w:p>
    <w:p>
      <w:pPr>
        <w:spacing w:line="620" w:lineRule="exact"/>
        <w:jc w:val="center"/>
        <w:rPr>
          <w:rFonts w:hint="eastAsia" w:eastAsia="方正小标宋_GBK"/>
          <w:color w:val="000000"/>
          <w:sz w:val="44"/>
          <w:szCs w:val="44"/>
        </w:rPr>
      </w:pPr>
      <w:r>
        <w:rPr>
          <w:rFonts w:hint="eastAsia" w:eastAsia="方正小标宋_GBK"/>
          <w:color w:val="000000"/>
          <w:sz w:val="44"/>
          <w:szCs w:val="44"/>
        </w:rPr>
        <w:t>关于对</w:t>
      </w:r>
      <w:r>
        <w:rPr>
          <w:rFonts w:hint="eastAsia" w:eastAsia="方正小标宋_GBK"/>
          <w:color w:val="000000"/>
          <w:sz w:val="44"/>
          <w:szCs w:val="44"/>
          <w:lang w:eastAsia="zh-CN"/>
        </w:rPr>
        <w:t>《</w:t>
      </w:r>
      <w:r>
        <w:rPr>
          <w:rFonts w:hint="eastAsia" w:eastAsia="方正小标宋_GBK"/>
          <w:color w:val="000000"/>
          <w:sz w:val="44"/>
          <w:szCs w:val="44"/>
        </w:rPr>
        <w:t>渝北区公共汽车及农村客运班车</w:t>
      </w:r>
    </w:p>
    <w:p>
      <w:pPr>
        <w:spacing w:line="620" w:lineRule="exact"/>
        <w:jc w:val="center"/>
        <w:rPr>
          <w:rFonts w:hint="eastAsia" w:eastAsia="方正小标宋_GBK"/>
          <w:color w:val="000000"/>
          <w:sz w:val="44"/>
          <w:szCs w:val="44"/>
          <w:lang w:eastAsia="zh-CN"/>
        </w:rPr>
      </w:pPr>
      <w:r>
        <w:rPr>
          <w:rFonts w:hint="eastAsia" w:eastAsia="方正小标宋_GBK"/>
          <w:color w:val="000000"/>
          <w:sz w:val="44"/>
          <w:szCs w:val="44"/>
        </w:rPr>
        <w:t>营运实行财政补贴的通知</w:t>
      </w:r>
      <w:r>
        <w:rPr>
          <w:rFonts w:hint="eastAsia" w:eastAsia="方正小标宋_GBK"/>
          <w:color w:val="000000"/>
          <w:sz w:val="44"/>
          <w:szCs w:val="44"/>
          <w:lang w:eastAsia="zh-CN"/>
        </w:rPr>
        <w:t>》的起草说明</w:t>
      </w:r>
    </w:p>
    <w:p>
      <w:pPr>
        <w:spacing w:line="620" w:lineRule="exact"/>
        <w:jc w:val="both"/>
        <w:rPr>
          <w:rFonts w:hint="eastAsia" w:eastAsia="方正小标宋_GBK"/>
          <w:color w:val="000000"/>
          <w:sz w:val="44"/>
          <w:szCs w:val="44"/>
          <w:lang w:eastAsia="zh-CN"/>
        </w:rPr>
      </w:pPr>
    </w:p>
    <w:p>
      <w:pPr>
        <w:numPr>
          <w:ilvl w:val="0"/>
          <w:numId w:val="0"/>
        </w:numPr>
        <w:spacing w:line="620" w:lineRule="exact"/>
        <w:ind w:firstLine="640" w:firstLineChars="200"/>
        <w:jc w:val="both"/>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一、政策制定的背景和依据</w:t>
      </w:r>
    </w:p>
    <w:p>
      <w:pPr>
        <w:numPr>
          <w:ilvl w:val="0"/>
          <w:numId w:val="0"/>
        </w:numPr>
        <w:spacing w:line="620" w:lineRule="exact"/>
        <w:ind w:firstLine="640"/>
        <w:jc w:val="both"/>
        <w:rPr>
          <w:rFonts w:hint="eastAsia" w:ascii="方正仿宋_GBK" w:hAnsi="方正仿宋_GBK" w:cs="方正仿宋_GBK"/>
          <w:sz w:val="32"/>
          <w:szCs w:val="32"/>
          <w:lang w:eastAsia="zh-CN"/>
        </w:rPr>
      </w:pPr>
      <w:r>
        <w:rPr>
          <w:rFonts w:hint="eastAsia" w:ascii="方正仿宋_GBK" w:hAnsi="方正仿宋_GBK" w:eastAsia="方正仿宋_GBK" w:cs="方正仿宋_GBK"/>
          <w:sz w:val="32"/>
          <w:szCs w:val="32"/>
          <w:lang w:eastAsia="zh-CN"/>
        </w:rPr>
        <w:t>《重庆市渝北区人民政府办公室关于对渝北区公共汽车及农村客运班车营运实行财政补贴的通知》（渝北府办〔2017〕50号）于2017年8月14日由渝北区人民政府办公室正式下发，已实施近</w:t>
      </w:r>
      <w:r>
        <w:rPr>
          <w:rFonts w:hint="eastAsia" w:ascii="方正仿宋_GBK" w:hAnsi="方正仿宋_GBK" w:eastAsia="方正仿宋_GBK" w:cs="方正仿宋_GBK"/>
          <w:sz w:val="32"/>
          <w:szCs w:val="32"/>
          <w:lang w:val="en-US" w:eastAsia="zh-CN"/>
        </w:rPr>
        <w:t>2年。</w:t>
      </w:r>
      <w:r>
        <w:rPr>
          <w:rFonts w:hint="eastAsia" w:ascii="方正仿宋_GBK" w:hAnsi="方正仿宋_GBK" w:cs="方正仿宋_GBK"/>
          <w:sz w:val="32"/>
          <w:szCs w:val="32"/>
          <w:lang w:val="en-US" w:eastAsia="zh-CN"/>
        </w:rPr>
        <w:t>为继续</w:t>
      </w:r>
      <w:r>
        <w:rPr>
          <w:rFonts w:hint="eastAsia"/>
        </w:rPr>
        <w:t>保持公交和客运行业稳定与持续发展，保障基本服务供给，为城乡居民提供便捷、平价、优质的出行服务</w:t>
      </w:r>
      <w:r>
        <w:rPr>
          <w:rFonts w:hint="eastAsia"/>
          <w:lang w:eastAsia="zh-CN"/>
        </w:rPr>
        <w:t>，同时，</w:t>
      </w:r>
      <w:r>
        <w:rPr>
          <w:rFonts w:hint="eastAsia" w:ascii="方正仿宋_GBK" w:hAnsi="方正仿宋_GBK" w:eastAsia="方正仿宋_GBK" w:cs="方正仿宋_GBK"/>
          <w:sz w:val="32"/>
          <w:szCs w:val="32"/>
          <w:lang w:eastAsia="zh-CN"/>
        </w:rPr>
        <w:t>为适应新的机构改革单位名称变更和更好的服务企业，</w:t>
      </w:r>
      <w:r>
        <w:rPr>
          <w:rFonts w:hint="eastAsia" w:ascii="方正仿宋_GBK" w:hAnsi="方正仿宋_GBK" w:cs="方正仿宋_GBK"/>
          <w:sz w:val="32"/>
          <w:szCs w:val="32"/>
          <w:lang w:eastAsia="zh-CN"/>
        </w:rPr>
        <w:t>此次</w:t>
      </w:r>
      <w:r>
        <w:rPr>
          <w:rFonts w:hint="eastAsia" w:ascii="方正仿宋_GBK" w:hAnsi="方正仿宋_GBK" w:eastAsia="方正仿宋_GBK" w:cs="方正仿宋_GBK"/>
          <w:sz w:val="32"/>
          <w:szCs w:val="32"/>
          <w:lang w:eastAsia="zh-CN"/>
        </w:rPr>
        <w:t>对文件中部分内容进行</w:t>
      </w:r>
      <w:r>
        <w:rPr>
          <w:rFonts w:hint="eastAsia" w:ascii="方正仿宋_GBK" w:hAnsi="方正仿宋_GBK" w:cs="方正仿宋_GBK"/>
          <w:sz w:val="32"/>
          <w:szCs w:val="32"/>
          <w:lang w:eastAsia="zh-CN"/>
        </w:rPr>
        <w:t>了</w:t>
      </w:r>
      <w:r>
        <w:rPr>
          <w:rFonts w:hint="eastAsia" w:ascii="方正仿宋_GBK" w:hAnsi="方正仿宋_GBK" w:eastAsia="方正仿宋_GBK" w:cs="方正仿宋_GBK"/>
          <w:sz w:val="32"/>
          <w:szCs w:val="32"/>
          <w:lang w:eastAsia="zh-CN"/>
        </w:rPr>
        <w:t>修订</w:t>
      </w:r>
      <w:r>
        <w:rPr>
          <w:rFonts w:hint="eastAsia" w:ascii="方正仿宋_GBK" w:hAnsi="方正仿宋_GBK" w:cs="方正仿宋_GBK"/>
          <w:sz w:val="32"/>
          <w:szCs w:val="32"/>
          <w:lang w:eastAsia="zh-CN"/>
        </w:rPr>
        <w:t>。</w:t>
      </w:r>
    </w:p>
    <w:p>
      <w:pPr>
        <w:pStyle w:val="3"/>
        <w:keepNext w:val="0"/>
        <w:keepLines w:val="0"/>
        <w:widowControl/>
        <w:numPr>
          <w:numId w:val="0"/>
        </w:numPr>
        <w:suppressLineNumbers w:val="0"/>
        <w:spacing w:before="0" w:beforeAutospacing="0" w:after="180" w:afterAutospacing="0" w:line="408" w:lineRule="auto"/>
        <w:ind w:leftChars="200" w:right="0" w:rightChars="0"/>
        <w:jc w:val="left"/>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kern w:val="2"/>
          <w:sz w:val="32"/>
          <w:szCs w:val="32"/>
          <w:lang w:val="en-US" w:eastAsia="zh-CN" w:bidi="ar-SA"/>
        </w:rPr>
        <w:t xml:space="preserve">二、政策制定过程  </w:t>
      </w:r>
    </w:p>
    <w:p>
      <w:pPr>
        <w:pStyle w:val="3"/>
        <w:keepNext w:val="0"/>
        <w:keepLines w:val="0"/>
        <w:widowControl/>
        <w:numPr>
          <w:numId w:val="0"/>
        </w:numPr>
        <w:suppressLineNumbers w:val="0"/>
        <w:spacing w:before="0" w:beforeAutospacing="0" w:after="180" w:afterAutospacing="0" w:line="408" w:lineRule="auto"/>
        <w:ind w:leftChars="200" w:right="0" w:rightChars="0"/>
        <w:jc w:val="left"/>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此政策经我单位2020年第11次行政办公会研究通过，</w:t>
      </w:r>
    </w:p>
    <w:p>
      <w:pPr>
        <w:pStyle w:val="3"/>
        <w:keepNext w:val="0"/>
        <w:keepLines w:val="0"/>
        <w:widowControl/>
        <w:suppressLineNumbers w:val="0"/>
        <w:spacing w:before="0" w:beforeAutospacing="0" w:after="180" w:afterAutospacing="0" w:line="408" w:lineRule="auto"/>
        <w:ind w:right="0"/>
        <w:jc w:val="left"/>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文件依据《重庆市公共汽车客运条例》、《重庆市人民政府关于主城区优先发展公共交通的实施意见》（渝府办〔</w:t>
      </w:r>
      <w:r>
        <w:rPr>
          <w:rFonts w:hint="default" w:ascii="方正仿宋_GBK" w:hAnsi="方正仿宋_GBK" w:eastAsia="方正仿宋_GBK" w:cs="方正仿宋_GBK"/>
          <w:kern w:val="2"/>
          <w:sz w:val="32"/>
          <w:szCs w:val="32"/>
          <w:lang w:val="en-US" w:eastAsia="zh-CN" w:bidi="ar-SA"/>
        </w:rPr>
        <w:t>201</w:t>
      </w:r>
      <w:r>
        <w:rPr>
          <w:rFonts w:hint="eastAsia" w:ascii="方正仿宋_GBK" w:hAnsi="方正仿宋_GBK" w:eastAsia="方正仿宋_GBK" w:cs="方正仿宋_GBK"/>
          <w:kern w:val="2"/>
          <w:sz w:val="32"/>
          <w:szCs w:val="32"/>
          <w:lang w:val="en-US" w:eastAsia="zh-CN" w:bidi="ar-SA"/>
        </w:rPr>
        <w:t>6〕9号）、《重庆市主城区绕城高速公路以外区域客运结构调整工作方案》（渝府办〔</w:t>
      </w:r>
      <w:r>
        <w:rPr>
          <w:rFonts w:hint="default" w:ascii="方正仿宋_GBK" w:hAnsi="方正仿宋_GBK" w:eastAsia="方正仿宋_GBK" w:cs="方正仿宋_GBK"/>
          <w:kern w:val="2"/>
          <w:sz w:val="32"/>
          <w:szCs w:val="32"/>
          <w:lang w:val="en-US" w:eastAsia="zh-CN" w:bidi="ar-SA"/>
        </w:rPr>
        <w:t>2014</w:t>
      </w:r>
      <w:r>
        <w:rPr>
          <w:rFonts w:hint="eastAsia" w:ascii="方正仿宋_GBK" w:hAnsi="方正仿宋_GBK" w:eastAsia="方正仿宋_GBK" w:cs="方正仿宋_GBK"/>
          <w:kern w:val="2"/>
          <w:sz w:val="32"/>
          <w:szCs w:val="32"/>
          <w:lang w:val="en-US" w:eastAsia="zh-CN" w:bidi="ar-SA"/>
        </w:rPr>
        <w:t>〕</w:t>
      </w:r>
      <w:r>
        <w:rPr>
          <w:rFonts w:hint="default" w:ascii="方正仿宋_GBK" w:hAnsi="方正仿宋_GBK" w:eastAsia="方正仿宋_GBK" w:cs="方正仿宋_GBK"/>
          <w:kern w:val="2"/>
          <w:sz w:val="32"/>
          <w:szCs w:val="32"/>
          <w:lang w:val="en-US" w:eastAsia="zh-CN" w:bidi="ar-SA"/>
        </w:rPr>
        <w:t>30</w:t>
      </w:r>
      <w:r>
        <w:rPr>
          <w:rFonts w:hint="eastAsia" w:ascii="方正仿宋_GBK" w:hAnsi="方正仿宋_GBK" w:eastAsia="方正仿宋_GBK" w:cs="方正仿宋_GBK"/>
          <w:kern w:val="2"/>
          <w:sz w:val="32"/>
          <w:szCs w:val="32"/>
          <w:lang w:val="en-US" w:eastAsia="zh-CN" w:bidi="ar-SA"/>
        </w:rPr>
        <w:t>号）制定。</w:t>
      </w:r>
    </w:p>
    <w:p>
      <w:pPr>
        <w:pStyle w:val="3"/>
        <w:keepNext w:val="0"/>
        <w:keepLines w:val="0"/>
        <w:widowControl/>
        <w:numPr>
          <w:numId w:val="0"/>
        </w:numPr>
        <w:suppressLineNumbers w:val="0"/>
        <w:spacing w:before="0" w:beforeAutospacing="0" w:after="180" w:afterAutospacing="0" w:line="408" w:lineRule="auto"/>
        <w:ind w:leftChars="200" w:right="0" w:rightChars="0"/>
        <w:jc w:val="left"/>
        <w:rPr>
          <w:rFonts w:hint="eastAsia" w:ascii="方正黑体_GBK" w:hAnsi="方正黑体_GBK" w:eastAsia="方正黑体_GBK" w:cs="方正黑体_GBK"/>
          <w:kern w:val="2"/>
          <w:sz w:val="32"/>
          <w:szCs w:val="32"/>
          <w:lang w:val="en-US" w:eastAsia="zh-CN" w:bidi="ar-SA"/>
        </w:rPr>
      </w:pPr>
    </w:p>
    <w:p>
      <w:pPr>
        <w:pStyle w:val="3"/>
        <w:keepNext w:val="0"/>
        <w:keepLines w:val="0"/>
        <w:widowControl/>
        <w:numPr>
          <w:numId w:val="0"/>
        </w:numPr>
        <w:suppressLineNumbers w:val="0"/>
        <w:spacing w:before="0" w:beforeAutospacing="0" w:after="180" w:afterAutospacing="0" w:line="408" w:lineRule="auto"/>
        <w:ind w:leftChars="200" w:right="0" w:rightChars="0"/>
        <w:jc w:val="left"/>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三、文件主要内容</w:t>
      </w:r>
    </w:p>
    <w:p>
      <w:pPr>
        <w:pStyle w:val="3"/>
        <w:keepNext w:val="0"/>
        <w:keepLines w:val="0"/>
        <w:widowControl/>
        <w:numPr>
          <w:ilvl w:val="0"/>
          <w:numId w:val="1"/>
        </w:numPr>
        <w:suppressLineNumbers w:val="0"/>
        <w:spacing w:before="0" w:beforeAutospacing="0" w:after="180" w:afterAutospacing="0" w:line="408" w:lineRule="auto"/>
        <w:ind w:right="0" w:rightChars="0" w:firstLine="640" w:firstLineChars="200"/>
        <w:jc w:val="left"/>
        <w:rPr>
          <w:rFonts w:hint="eastAsia" w:ascii="方正仿宋_GBK" w:hAnsi="方正仿宋_GBK" w:cs="方正仿宋_GBK"/>
          <w:kern w:val="2"/>
          <w:sz w:val="32"/>
          <w:szCs w:val="32"/>
          <w:lang w:val="en-US" w:eastAsia="zh-CN" w:bidi="ar-SA"/>
        </w:rPr>
      </w:pPr>
      <w:r>
        <w:rPr>
          <w:rFonts w:hint="eastAsia" w:ascii="方正仿宋_GBK" w:hAnsi="方正仿宋_GBK" w:cs="方正仿宋_GBK"/>
          <w:kern w:val="2"/>
          <w:sz w:val="32"/>
          <w:szCs w:val="32"/>
          <w:lang w:val="en-US" w:eastAsia="zh-CN" w:bidi="ar-SA"/>
        </w:rPr>
        <w:t>补贴对象</w:t>
      </w:r>
    </w:p>
    <w:p>
      <w:pPr>
        <w:pStyle w:val="3"/>
        <w:keepNext w:val="0"/>
        <w:keepLines w:val="0"/>
        <w:widowControl/>
        <w:numPr>
          <w:ilvl w:val="0"/>
          <w:numId w:val="0"/>
        </w:numPr>
        <w:suppressLineNumbers w:val="0"/>
        <w:spacing w:before="0" w:beforeAutospacing="0" w:after="180" w:afterAutospacing="0" w:line="408" w:lineRule="auto"/>
        <w:ind w:right="0" w:rightChars="0" w:firstLine="640" w:firstLineChars="200"/>
        <w:jc w:val="left"/>
        <w:rPr>
          <w:rFonts w:hint="eastAsia" w:ascii="方正仿宋_GBK" w:hAnsi="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自2017年1月1日起，在我区获得绕城高速外公共汽车、“冷线”公共汽车、农村客运班车经营权的企业</w:t>
      </w:r>
      <w:r>
        <w:rPr>
          <w:rFonts w:hint="eastAsia" w:ascii="方正仿宋_GBK" w:hAnsi="方正仿宋_GBK" w:cs="方正仿宋_GBK"/>
          <w:kern w:val="2"/>
          <w:sz w:val="32"/>
          <w:szCs w:val="32"/>
          <w:lang w:val="en-US" w:eastAsia="zh-CN" w:bidi="ar-SA"/>
        </w:rPr>
        <w:t>。</w:t>
      </w:r>
    </w:p>
    <w:p>
      <w:pPr>
        <w:pStyle w:val="3"/>
        <w:keepNext w:val="0"/>
        <w:keepLines w:val="0"/>
        <w:widowControl/>
        <w:numPr>
          <w:ilvl w:val="0"/>
          <w:numId w:val="0"/>
        </w:numPr>
        <w:suppressLineNumbers w:val="0"/>
        <w:spacing w:before="0" w:beforeAutospacing="0" w:after="180" w:afterAutospacing="0" w:line="408" w:lineRule="auto"/>
        <w:ind w:left="640" w:leftChars="0" w:right="0" w:rightChars="0"/>
        <w:jc w:val="left"/>
        <w:rPr>
          <w:rFonts w:hint="eastAsia" w:ascii="方正仿宋_GBK" w:hAnsi="方正仿宋_GBK" w:cs="方正仿宋_GBK"/>
          <w:kern w:val="2"/>
          <w:sz w:val="32"/>
          <w:szCs w:val="32"/>
          <w:lang w:val="en-US" w:eastAsia="zh-CN" w:bidi="ar-SA"/>
        </w:rPr>
      </w:pPr>
      <w:r>
        <w:rPr>
          <w:rFonts w:hint="eastAsia" w:ascii="方正仿宋_GBK" w:hAnsi="方正仿宋_GBK" w:cs="方正仿宋_GBK"/>
          <w:kern w:val="2"/>
          <w:sz w:val="32"/>
          <w:szCs w:val="32"/>
          <w:lang w:val="en-US" w:eastAsia="zh-CN" w:bidi="ar-SA"/>
        </w:rPr>
        <w:t>（二）补贴原则</w:t>
      </w:r>
    </w:p>
    <w:p>
      <w:pPr>
        <w:numPr>
          <w:ilvl w:val="0"/>
          <w:numId w:val="2"/>
        </w:numPr>
        <w:ind w:firstLine="643" w:firstLineChars="200"/>
        <w:rPr>
          <w:rFonts w:hint="eastAsia"/>
        </w:rPr>
      </w:pPr>
      <w:r>
        <w:rPr>
          <w:rFonts w:hint="eastAsia"/>
          <w:b/>
        </w:rPr>
        <w:t>双重性原则。</w:t>
      </w:r>
      <w:r>
        <w:rPr>
          <w:rFonts w:hint="eastAsia"/>
        </w:rPr>
        <w:t>坚持公共汽车和农村客运班车企业化运营与准公共产品双重特性原则。</w:t>
      </w:r>
    </w:p>
    <w:p>
      <w:pPr>
        <w:spacing w:line="570" w:lineRule="exact"/>
        <w:ind w:firstLine="643" w:firstLineChars="200"/>
      </w:pPr>
      <w:r>
        <w:rPr>
          <w:b/>
        </w:rPr>
        <w:t>2.</w:t>
      </w:r>
      <w:r>
        <w:rPr>
          <w:rFonts w:hint="eastAsia"/>
          <w:b/>
        </w:rPr>
        <w:t xml:space="preserve"> 可持续原则。</w:t>
      </w:r>
      <w:r>
        <w:rPr>
          <w:rFonts w:hint="eastAsia"/>
        </w:rPr>
        <w:t>坚持公共汽车和农村客运班车服务标准与经济社会发展水平、财政承受力相适应，兼顾市民出行便捷平价、企业发展和财政支付可持续原则。</w:t>
      </w:r>
    </w:p>
    <w:p>
      <w:pPr>
        <w:spacing w:line="570" w:lineRule="exact"/>
      </w:pPr>
      <w:r>
        <w:rPr>
          <w:rFonts w:hint="eastAsia"/>
          <w:b/>
        </w:rPr>
        <w:t xml:space="preserve">    </w:t>
      </w:r>
      <w:r>
        <w:rPr>
          <w:b/>
        </w:rPr>
        <w:t>3.</w:t>
      </w:r>
      <w:r>
        <w:rPr>
          <w:rFonts w:hint="eastAsia"/>
          <w:b/>
        </w:rPr>
        <w:t xml:space="preserve"> 合理性原则。</w:t>
      </w:r>
      <w:r>
        <w:rPr>
          <w:rFonts w:hint="eastAsia"/>
        </w:rPr>
        <w:t>对企业因实施低票价、减免票、承担政府指令性任务等形成的政策性亏损，科学核定运营成本，合理界定政府补贴范围。</w:t>
      </w:r>
    </w:p>
    <w:p>
      <w:pPr>
        <w:spacing w:line="570" w:lineRule="exact"/>
        <w:ind w:firstLine="643" w:firstLineChars="200"/>
      </w:pPr>
      <w:r>
        <w:rPr>
          <w:b/>
        </w:rPr>
        <w:t>4.</w:t>
      </w:r>
      <w:r>
        <w:rPr>
          <w:rFonts w:hint="eastAsia"/>
          <w:b/>
        </w:rPr>
        <w:t xml:space="preserve"> 激励性原则。</w:t>
      </w:r>
      <w:r>
        <w:rPr>
          <w:rFonts w:hint="eastAsia"/>
        </w:rPr>
        <w:t>坚持实施运营成本规制与企业成本控制相结合，财政补贴与服务质量考核相结合的原则。</w:t>
      </w:r>
    </w:p>
    <w:p>
      <w:pPr>
        <w:numPr>
          <w:ilvl w:val="0"/>
          <w:numId w:val="0"/>
        </w:numPr>
        <w:ind w:firstLine="640"/>
        <w:rPr>
          <w:rFonts w:hint="eastAsia"/>
          <w:lang w:val="en-US" w:eastAsia="zh-CN"/>
        </w:rPr>
      </w:pPr>
      <w:r>
        <w:rPr>
          <w:rFonts w:hint="eastAsia"/>
          <w:lang w:val="en-US" w:eastAsia="zh-CN"/>
        </w:rPr>
        <w:t>（三）补贴标准</w:t>
      </w:r>
    </w:p>
    <w:p>
      <w:pPr>
        <w:spacing w:line="570" w:lineRule="exact"/>
        <w:ind w:firstLine="643" w:firstLineChars="200"/>
        <w:rPr>
          <w:rFonts w:hint="eastAsia"/>
        </w:rPr>
      </w:pPr>
      <w:r>
        <w:rPr>
          <w:b/>
        </w:rPr>
        <w:t>1.</w:t>
      </w:r>
      <w:r>
        <w:rPr>
          <w:rFonts w:hint="eastAsia"/>
          <w:b/>
        </w:rPr>
        <w:t xml:space="preserve"> </w:t>
      </w:r>
      <w:r>
        <w:rPr>
          <w:rFonts w:hint="eastAsia" w:ascii="方正楷体_GBK" w:eastAsia="方正楷体_GBK"/>
        </w:rPr>
        <w:t>绕城高速外公共汽车补贴</w:t>
      </w:r>
      <w:r>
        <w:rPr>
          <w:rFonts w:hint="eastAsia"/>
        </w:rPr>
        <w:t>=单项补贴之和</w:t>
      </w:r>
      <w:r>
        <w:t>+</w:t>
      </w:r>
      <w:r>
        <w:rPr>
          <w:rFonts w:hint="eastAsia"/>
        </w:rPr>
        <w:t>投资回报调节</w:t>
      </w:r>
      <w:r>
        <w:t>+</w:t>
      </w:r>
      <w:r>
        <w:rPr>
          <w:rFonts w:hint="eastAsia"/>
        </w:rPr>
        <w:t>服务质量调节</w:t>
      </w:r>
    </w:p>
    <w:p>
      <w:pPr>
        <w:spacing w:line="570" w:lineRule="exact"/>
        <w:ind w:firstLine="643" w:firstLineChars="200"/>
      </w:pPr>
      <w:r>
        <w:rPr>
          <w:rFonts w:hint="eastAsia"/>
          <w:b/>
          <w:szCs w:val="22"/>
          <w:lang w:val="en-US" w:eastAsia="zh-CN"/>
        </w:rPr>
        <w:t>2.</w:t>
      </w:r>
      <w:r>
        <w:rPr>
          <w:rFonts w:hint="eastAsia" w:ascii="方正楷体_GBK" w:eastAsia="方正楷体_GBK"/>
        </w:rPr>
        <w:t>“冷线”公共汽车补贴</w:t>
      </w:r>
      <w:r>
        <w:t>=∑</w:t>
      </w:r>
      <w:r>
        <w:rPr>
          <w:rFonts w:hint="eastAsia"/>
        </w:rPr>
        <w:t>单车补贴金额</w:t>
      </w:r>
    </w:p>
    <w:p>
      <w:pPr>
        <w:spacing w:line="570" w:lineRule="exact"/>
        <w:ind w:firstLine="640" w:firstLineChars="200"/>
        <w:rPr>
          <w:rFonts w:hint="eastAsia"/>
          <w:spacing w:val="-6"/>
        </w:rPr>
      </w:pPr>
      <w:r>
        <w:rPr>
          <w:rFonts w:hint="eastAsia"/>
        </w:rPr>
        <w:t>单</w:t>
      </w:r>
      <w:r>
        <w:rPr>
          <w:rFonts w:hint="eastAsia"/>
          <w:spacing w:val="-6"/>
        </w:rPr>
        <w:t>车补贴金额</w:t>
      </w:r>
      <w:r>
        <w:rPr>
          <w:spacing w:val="-6"/>
        </w:rPr>
        <w:t>=</w:t>
      </w:r>
      <w:r>
        <w:rPr>
          <w:rFonts w:hint="eastAsia"/>
          <w:spacing w:val="-6"/>
        </w:rPr>
        <w:t>补贴基数</w:t>
      </w:r>
      <w:r>
        <w:rPr>
          <w:spacing w:val="-6"/>
        </w:rPr>
        <w:t>×</w:t>
      </w:r>
      <w:r>
        <w:rPr>
          <w:rFonts w:hint="eastAsia"/>
          <w:spacing w:val="-6"/>
        </w:rPr>
        <w:t>车型系数</w:t>
      </w:r>
      <w:r>
        <w:rPr>
          <w:spacing w:val="-6"/>
        </w:rPr>
        <w:t>×</w:t>
      </w:r>
      <w:r>
        <w:rPr>
          <w:rFonts w:hint="eastAsia"/>
          <w:spacing w:val="-6"/>
        </w:rPr>
        <w:t>营运里程率</w:t>
      </w:r>
      <w:r>
        <w:rPr>
          <w:spacing w:val="-6"/>
        </w:rPr>
        <w:t>×</w:t>
      </w:r>
      <w:r>
        <w:rPr>
          <w:rFonts w:hint="eastAsia"/>
          <w:spacing w:val="-6"/>
        </w:rPr>
        <w:t>年度比例。</w:t>
      </w:r>
    </w:p>
    <w:p>
      <w:pPr>
        <w:numPr>
          <w:ilvl w:val="0"/>
          <w:numId w:val="0"/>
        </w:numPr>
        <w:spacing w:line="570" w:lineRule="exact"/>
        <w:ind w:leftChars="200"/>
      </w:pPr>
      <w:r>
        <w:rPr>
          <w:rFonts w:hint="default" w:ascii="Times New Roman" w:hAnsi="Times New Roman" w:eastAsia="方正楷体_GBK" w:cs="Times New Roman"/>
          <w:b/>
          <w:bCs/>
          <w:lang w:val="en-US" w:eastAsia="zh-CN"/>
        </w:rPr>
        <w:t>3.</w:t>
      </w:r>
      <w:r>
        <w:rPr>
          <w:rFonts w:hint="eastAsia" w:ascii="方正楷体_GBK" w:eastAsia="方正楷体_GBK"/>
        </w:rPr>
        <w:t>农村客运班车补贴</w:t>
      </w:r>
      <w:r>
        <w:t>=∑</w:t>
      </w:r>
      <w:r>
        <w:rPr>
          <w:rFonts w:hint="eastAsia"/>
        </w:rPr>
        <w:t>单车补贴金额</w:t>
      </w:r>
    </w:p>
    <w:p>
      <w:pPr>
        <w:spacing w:line="570" w:lineRule="exact"/>
        <w:ind w:firstLine="640" w:firstLineChars="200"/>
        <w:rPr>
          <w:rFonts w:hint="eastAsia"/>
        </w:rPr>
      </w:pPr>
      <w:r>
        <w:rPr>
          <w:rFonts w:hint="eastAsia"/>
        </w:rPr>
        <w:t>单车补贴金额=营运亏损补贴</w:t>
      </w:r>
      <w:r>
        <w:t>+</w:t>
      </w:r>
      <w:r>
        <w:rPr>
          <w:rFonts w:hint="eastAsia"/>
        </w:rPr>
        <w:t>服务质量补贴</w:t>
      </w:r>
    </w:p>
    <w:p>
      <w:pPr>
        <w:numPr>
          <w:numId w:val="0"/>
        </w:numPr>
        <w:spacing w:line="570" w:lineRule="exact"/>
        <w:ind w:leftChars="200"/>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四、新旧政策差异对比</w:t>
      </w:r>
    </w:p>
    <w:p>
      <w:pPr>
        <w:numPr>
          <w:ilvl w:val="0"/>
          <w:numId w:val="0"/>
        </w:numPr>
        <w:ind w:firstLine="640" w:firstLineChars="200"/>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（一）文件中“区交委”修订为“区交通局”。</w:t>
      </w:r>
      <w:r>
        <w:rPr>
          <w:rFonts w:hint="eastAsia" w:ascii="方正仿宋_GBK" w:hAnsi="方正仿宋_GBK" w:eastAsia="方正仿宋_GBK" w:cs="方正仿宋_GBK"/>
          <w:sz w:val="32"/>
          <w:szCs w:val="32"/>
          <w:lang w:eastAsia="zh-CN"/>
        </w:rPr>
        <w:t>修订理由：因机构改革渝北区交通委员会更名为渝北区交通局。</w:t>
      </w:r>
    </w:p>
    <w:p>
      <w:pPr>
        <w:numPr>
          <w:ilvl w:val="0"/>
          <w:numId w:val="0"/>
        </w:numPr>
        <w:ind w:left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（二）文件中“区运管处”修订为“区道路运输事务中</w:t>
      </w:r>
    </w:p>
    <w:p>
      <w:pPr>
        <w:numPr>
          <w:ilvl w:val="0"/>
          <w:numId w:val="0"/>
        </w:numPr>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心”。</w:t>
      </w:r>
      <w:r>
        <w:rPr>
          <w:rFonts w:hint="eastAsia" w:ascii="方正仿宋_GBK" w:hAnsi="方正仿宋_GBK" w:eastAsia="方正仿宋_GBK" w:cs="方正仿宋_GBK"/>
          <w:sz w:val="32"/>
          <w:szCs w:val="32"/>
          <w:lang w:eastAsia="zh-CN"/>
        </w:rPr>
        <w:t>修订理由：按照《中共重庆市渝北区委机构编制委员会关于调整区道路运输管理处机构编制有关事项的通知》要求，重庆市渝北区道路运输管理处更名为重庆市渝北区道路运输事务中心。</w:t>
      </w:r>
    </w:p>
    <w:p>
      <w:pPr>
        <w:numPr>
          <w:ilvl w:val="0"/>
          <w:numId w:val="3"/>
        </w:numPr>
        <w:ind w:left="640" w:leftChars="0" w:firstLine="0" w:firstLineChars="0"/>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文件第三部分。</w:t>
      </w:r>
      <w:r>
        <w:rPr>
          <w:rFonts w:hint="eastAsia" w:ascii="方正仿宋_GBK" w:hAnsi="方正仿宋_GBK" w:eastAsia="方正仿宋_GBK" w:cs="方正仿宋_GBK"/>
          <w:sz w:val="32"/>
          <w:szCs w:val="32"/>
          <w:lang w:eastAsia="zh-CN"/>
        </w:rPr>
        <w:t>三、财政补贴的预算、核定及兑</w:t>
      </w:r>
    </w:p>
    <w:p>
      <w:pPr>
        <w:numPr>
          <w:ilvl w:val="0"/>
          <w:numId w:val="0"/>
        </w:num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现方法；</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“农村客运班车营运补贴预算、核定及兑现”；</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兑现”。原文“4月，由区交委会同区财政局，汇总上一年度的运营计划完成情况和服务质量考核结果。核定补贴金额后，由区运管处按有关规定向企业发放。”修订为“由区交通局会同区财政局，按照运营计划完成情况和服务质量考核结果，核定补贴金额后，由区道路运输事务中心按有关规定向企业分两次发放（当年的7月和次年的1月）。”修订理由：因我区农客运营企业经营困难，为进一步做好“四好农村路”运营工作服务好企业，减轻企业经营压力，确保全区农村客运市场稳定，特做出修订。</w:t>
      </w:r>
    </w:p>
    <w:p>
      <w:pPr>
        <w:numPr>
          <w:ilvl w:val="0"/>
          <w:numId w:val="0"/>
        </w:numPr>
        <w:spacing w:line="570" w:lineRule="exact"/>
        <w:ind w:leftChars="200"/>
        <w:rPr>
          <w:rFonts w:hint="eastAsia"/>
          <w:lang w:eastAsia="zh-CN"/>
        </w:rPr>
      </w:pPr>
    </w:p>
    <w:p>
      <w:pPr>
        <w:numPr>
          <w:ilvl w:val="0"/>
          <w:numId w:val="0"/>
        </w:numPr>
        <w:spacing w:line="570" w:lineRule="exact"/>
        <w:ind w:leftChars="200"/>
        <w:rPr>
          <w:rFonts w:hint="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78A71"/>
    <w:multiLevelType w:val="singleLevel"/>
    <w:tmpl w:val="44678A71"/>
    <w:lvl w:ilvl="0" w:tentative="0">
      <w:start w:val="1"/>
      <w:numFmt w:val="decimal"/>
      <w:suff w:val="space"/>
      <w:lvlText w:val="%1."/>
      <w:lvlJc w:val="left"/>
    </w:lvl>
  </w:abstractNum>
  <w:abstractNum w:abstractNumId="1">
    <w:nsid w:val="4FDABEF2"/>
    <w:multiLevelType w:val="singleLevel"/>
    <w:tmpl w:val="4FDABEF2"/>
    <w:lvl w:ilvl="0" w:tentative="0">
      <w:start w:val="1"/>
      <w:numFmt w:val="chineseCounting"/>
      <w:suff w:val="nothing"/>
      <w:lvlText w:val="（%1）"/>
      <w:lvlJc w:val="left"/>
      <w:rPr>
        <w:rFonts w:hint="eastAsia"/>
      </w:rPr>
    </w:lvl>
  </w:abstractNum>
  <w:abstractNum w:abstractNumId="2">
    <w:nsid w:val="720ABB9F"/>
    <w:multiLevelType w:val="singleLevel"/>
    <w:tmpl w:val="720ABB9F"/>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B620B"/>
    <w:rsid w:val="33007BE8"/>
    <w:rsid w:val="475A698F"/>
    <w:rsid w:val="4E63263E"/>
    <w:rsid w:val="4FCE25C0"/>
    <w:rsid w:val="5A676D8A"/>
    <w:rsid w:val="7B52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2021-01-21T01:04:00Z</dcterms:created>
  <dc:creator>Administrator</dc:creator>
  <cp:lastModifiedBy>A Young Gun</cp:lastModifiedBy>
  <cp:lastPrinted>2021-01-21T01:34:00Z</cp:lastPrinted>
  <dcterms:modified xsi:type="dcterms:W3CDTF">2021-11-30T03:09:38Z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50ED357D5C974C37974D1BB9B60D433E</vt:lpwstr>
  </property>
</Properties>
</file>