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63A9D" w14:textId="77777777" w:rsidR="00AC36B1" w:rsidRDefault="00000000">
      <w:pPr>
        <w:spacing w:line="540" w:lineRule="exact"/>
        <w:outlineLvl w:val="0"/>
        <w:rPr>
          <w:rFonts w:ascii="黑体" w:eastAsia="黑体" w:hAnsi="黑体" w:cs="黑体"/>
          <w:szCs w:val="32"/>
        </w:rPr>
      </w:pPr>
      <w:r>
        <w:rPr>
          <w:rFonts w:ascii="黑体" w:eastAsia="黑体" w:hAnsi="黑体" w:cs="黑体" w:hint="eastAsia"/>
          <w:szCs w:val="32"/>
        </w:rPr>
        <w:t>附件</w:t>
      </w:r>
      <w:r w:rsidR="005809B0">
        <w:rPr>
          <w:rFonts w:ascii="黑体" w:eastAsia="黑体" w:hAnsi="黑体" w:cs="黑体"/>
          <w:szCs w:val="32"/>
        </w:rPr>
        <w:t>4</w:t>
      </w:r>
    </w:p>
    <w:p w14:paraId="67A35F51" w14:textId="77777777" w:rsidR="00AC36B1" w:rsidRDefault="00AC36B1">
      <w:pPr>
        <w:spacing w:line="540" w:lineRule="exact"/>
        <w:ind w:firstLine="640"/>
        <w:rPr>
          <w:rFonts w:ascii="Times New Roman" w:eastAsia="仿宋_GB2312" w:hAnsi="Times New Roman"/>
          <w:szCs w:val="32"/>
        </w:rPr>
      </w:pPr>
    </w:p>
    <w:p w14:paraId="018C8ECE" w14:textId="77777777" w:rsidR="00AC36B1" w:rsidRDefault="00000000">
      <w:pPr>
        <w:pStyle w:val="af7"/>
        <w:spacing w:line="540" w:lineRule="exact"/>
        <w:rPr>
          <w:rFonts w:ascii="Times New Roman" w:hAnsi="Times New Roman" w:cs="宋体"/>
          <w:b w:val="0"/>
          <w:bCs w:val="0"/>
          <w:sz w:val="44"/>
          <w:szCs w:val="44"/>
          <w:vertAlign w:val="superscript"/>
          <w:lang w:eastAsia="zh-Hans"/>
        </w:rPr>
      </w:pPr>
      <w:r>
        <w:rPr>
          <w:rFonts w:ascii="Times New Roman" w:hAnsi="Times New Roman" w:cs="宋体" w:hint="eastAsia"/>
          <w:b w:val="0"/>
          <w:bCs w:val="0"/>
          <w:sz w:val="44"/>
          <w:szCs w:val="44"/>
          <w:lang w:eastAsia="zh-Hans"/>
        </w:rPr>
        <w:t>制造业中小企业数字化水平评测表</w:t>
      </w:r>
    </w:p>
    <w:p w14:paraId="084F294A" w14:textId="77777777" w:rsidR="00AC36B1" w:rsidRDefault="00000000" w:rsidP="007B4313">
      <w:pPr>
        <w:pStyle w:val="af7"/>
        <w:spacing w:afterLines="100" w:after="435" w:line="540" w:lineRule="exact"/>
        <w:rPr>
          <w:rFonts w:ascii="Times New Roman" w:hAnsi="Times New Roman" w:cs="宋体"/>
          <w:b w:val="0"/>
          <w:bCs w:val="0"/>
          <w:sz w:val="44"/>
          <w:szCs w:val="44"/>
        </w:rPr>
      </w:pPr>
      <w:r>
        <w:rPr>
          <w:rFonts w:ascii="Times New Roman" w:hAnsi="Times New Roman" w:cs="宋体" w:hint="eastAsia"/>
          <w:b w:val="0"/>
          <w:bCs w:val="0"/>
          <w:sz w:val="44"/>
          <w:szCs w:val="44"/>
        </w:rPr>
        <w:t>（</w:t>
      </w:r>
      <w:r>
        <w:rPr>
          <w:rFonts w:ascii="Times New Roman" w:hAnsi="Times New Roman" w:cs="宋体" w:hint="eastAsia"/>
          <w:b w:val="0"/>
          <w:bCs w:val="0"/>
          <w:sz w:val="44"/>
          <w:szCs w:val="44"/>
        </w:rPr>
        <w:t>2022</w:t>
      </w:r>
      <w:r>
        <w:rPr>
          <w:rFonts w:ascii="Times New Roman" w:hAnsi="Times New Roman" w:cs="宋体" w:hint="eastAsia"/>
          <w:b w:val="0"/>
          <w:bCs w:val="0"/>
          <w:sz w:val="44"/>
          <w:szCs w:val="44"/>
        </w:rPr>
        <w:t>年版）</w:t>
      </w:r>
      <w:bookmarkStart w:id="0" w:name="_Hlk107990593"/>
      <w:r>
        <w:rPr>
          <w:rFonts w:cs="宋体" w:hint="eastAsia"/>
          <w:b w:val="0"/>
          <w:bCs w:val="0"/>
          <w:sz w:val="44"/>
          <w:szCs w:val="44"/>
          <w:vertAlign w:val="superscript"/>
          <w:lang w:eastAsia="zh-Hans"/>
        </w:rPr>
        <w:footnoteReference w:id="1"/>
      </w:r>
      <w:bookmarkEnd w:id="0"/>
    </w:p>
    <w:tbl>
      <w:tblPr>
        <w:tblStyle w:val="aff"/>
        <w:tblW w:w="9050" w:type="dxa"/>
        <w:jc w:val="center"/>
        <w:tblLayout w:type="fixed"/>
        <w:tblLook w:val="04A0" w:firstRow="1" w:lastRow="0" w:firstColumn="1" w:lastColumn="0" w:noHBand="0" w:noVBand="1"/>
      </w:tblPr>
      <w:tblGrid>
        <w:gridCol w:w="1135"/>
        <w:gridCol w:w="1135"/>
        <w:gridCol w:w="1309"/>
        <w:gridCol w:w="5012"/>
        <w:gridCol w:w="459"/>
      </w:tblGrid>
      <w:tr w:rsidR="00AC36B1" w14:paraId="75BA94F9" w14:textId="77777777">
        <w:trPr>
          <w:tblHeader/>
          <w:jc w:val="center"/>
        </w:trPr>
        <w:tc>
          <w:tcPr>
            <w:tcW w:w="1135" w:type="dxa"/>
            <w:vAlign w:val="center"/>
          </w:tcPr>
          <w:p w14:paraId="5FEFB50D" w14:textId="77777777" w:rsidR="00AC36B1" w:rsidRDefault="00000000">
            <w:pPr>
              <w:snapToGrid w:val="0"/>
              <w:spacing w:line="240" w:lineRule="atLeast"/>
              <w:contextualSpacing/>
              <w:jc w:val="center"/>
              <w:rPr>
                <w:rFonts w:ascii="仿宋_GB2312" w:eastAsia="仿宋_GB2312" w:hAnsi="仿宋_GB2312" w:cs="仿宋_GB2312"/>
                <w:b/>
                <w:sz w:val="24"/>
              </w:rPr>
            </w:pPr>
            <w:r>
              <w:rPr>
                <w:rFonts w:ascii="仿宋_GB2312" w:eastAsia="仿宋_GB2312" w:hAnsi="仿宋_GB2312" w:cs="仿宋_GB2312"/>
                <w:b/>
                <w:sz w:val="24"/>
              </w:rPr>
              <w:t>一级指标及权重</w:t>
            </w:r>
          </w:p>
        </w:tc>
        <w:tc>
          <w:tcPr>
            <w:tcW w:w="1135" w:type="dxa"/>
            <w:vAlign w:val="center"/>
          </w:tcPr>
          <w:p w14:paraId="0A01AFC5" w14:textId="77777777" w:rsidR="00AC36B1" w:rsidRDefault="00000000">
            <w:pPr>
              <w:snapToGrid w:val="0"/>
              <w:spacing w:line="240" w:lineRule="atLeast"/>
              <w:contextualSpacing/>
              <w:jc w:val="center"/>
              <w:rPr>
                <w:rFonts w:ascii="仿宋_GB2312" w:eastAsia="仿宋_GB2312" w:hAnsi="仿宋_GB2312" w:cs="仿宋_GB2312"/>
                <w:b/>
                <w:sz w:val="24"/>
              </w:rPr>
            </w:pPr>
            <w:r>
              <w:rPr>
                <w:rFonts w:ascii="仿宋_GB2312" w:eastAsia="仿宋_GB2312" w:hAnsi="仿宋_GB2312" w:cs="仿宋_GB2312"/>
                <w:b/>
                <w:sz w:val="24"/>
              </w:rPr>
              <w:t>二级指标及权重</w:t>
            </w:r>
          </w:p>
        </w:tc>
        <w:tc>
          <w:tcPr>
            <w:tcW w:w="1309" w:type="dxa"/>
            <w:vAlign w:val="center"/>
          </w:tcPr>
          <w:p w14:paraId="7DC0D3E8" w14:textId="77777777" w:rsidR="00AC36B1" w:rsidRDefault="00000000">
            <w:pPr>
              <w:snapToGrid w:val="0"/>
              <w:spacing w:line="240" w:lineRule="atLeast"/>
              <w:contextualSpacing/>
              <w:jc w:val="center"/>
              <w:rPr>
                <w:rFonts w:ascii="仿宋_GB2312" w:eastAsia="仿宋_GB2312" w:hAnsi="仿宋_GB2312" w:cs="仿宋_GB2312"/>
                <w:b/>
                <w:sz w:val="24"/>
              </w:rPr>
            </w:pPr>
            <w:r>
              <w:rPr>
                <w:rFonts w:ascii="仿宋_GB2312" w:eastAsia="仿宋_GB2312" w:hAnsi="仿宋_GB2312" w:cs="仿宋_GB2312"/>
                <w:b/>
                <w:sz w:val="24"/>
              </w:rPr>
              <w:t>序号</w:t>
            </w:r>
          </w:p>
        </w:tc>
        <w:tc>
          <w:tcPr>
            <w:tcW w:w="5012" w:type="dxa"/>
            <w:vAlign w:val="center"/>
          </w:tcPr>
          <w:p w14:paraId="698E6616" w14:textId="77777777" w:rsidR="00AC36B1" w:rsidRDefault="00000000">
            <w:pPr>
              <w:snapToGrid w:val="0"/>
              <w:spacing w:line="240" w:lineRule="atLeast"/>
              <w:contextualSpacing/>
              <w:jc w:val="center"/>
              <w:rPr>
                <w:rFonts w:ascii="仿宋_GB2312" w:eastAsia="仿宋_GB2312" w:hAnsi="仿宋_GB2312" w:cs="仿宋_GB2312"/>
                <w:b/>
                <w:sz w:val="24"/>
              </w:rPr>
            </w:pPr>
            <w:r>
              <w:rPr>
                <w:rFonts w:ascii="仿宋_GB2312" w:eastAsia="仿宋_GB2312" w:hAnsi="仿宋_GB2312" w:cs="仿宋_GB2312"/>
                <w:b/>
                <w:sz w:val="24"/>
              </w:rPr>
              <w:t>问卷</w:t>
            </w:r>
          </w:p>
        </w:tc>
        <w:tc>
          <w:tcPr>
            <w:tcW w:w="459" w:type="dxa"/>
            <w:vAlign w:val="center"/>
          </w:tcPr>
          <w:p w14:paraId="16EF4F1C" w14:textId="77777777" w:rsidR="00AC36B1" w:rsidRDefault="00000000">
            <w:pPr>
              <w:snapToGrid w:val="0"/>
              <w:spacing w:line="240" w:lineRule="atLeast"/>
              <w:contextualSpacing/>
              <w:jc w:val="center"/>
              <w:rPr>
                <w:rFonts w:ascii="仿宋_GB2312" w:eastAsia="仿宋_GB2312" w:hAnsi="仿宋_GB2312" w:cs="仿宋_GB2312"/>
                <w:b/>
                <w:sz w:val="24"/>
              </w:rPr>
            </w:pPr>
            <w:r>
              <w:rPr>
                <w:rFonts w:ascii="仿宋_GB2312" w:eastAsia="仿宋_GB2312" w:hAnsi="仿宋_GB2312" w:cs="仿宋_GB2312"/>
                <w:b/>
                <w:sz w:val="24"/>
              </w:rPr>
              <w:t>题型</w:t>
            </w:r>
          </w:p>
        </w:tc>
      </w:tr>
      <w:tr w:rsidR="00AC36B1" w14:paraId="5A25AFBC" w14:textId="77777777">
        <w:trPr>
          <w:jc w:val="center"/>
        </w:trPr>
        <w:tc>
          <w:tcPr>
            <w:tcW w:w="1135" w:type="dxa"/>
            <w:vMerge w:val="restart"/>
            <w:vAlign w:val="center"/>
          </w:tcPr>
          <w:p w14:paraId="11F21051"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hint="eastAsia"/>
                <w:sz w:val="24"/>
              </w:rPr>
              <w:t>一、</w:t>
            </w:r>
          </w:p>
          <w:p w14:paraId="0E68B0A5"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数字化基础</w:t>
            </w:r>
          </w:p>
          <w:p w14:paraId="614D6CC7"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（25%）</w:t>
            </w:r>
          </w:p>
          <w:p w14:paraId="7252E907" w14:textId="77777777" w:rsidR="007B4313" w:rsidRPr="007B4313" w:rsidRDefault="007B4313" w:rsidP="007B4313">
            <w:pPr>
              <w:rPr>
                <w:rFonts w:ascii="仿宋_GB2312" w:eastAsia="仿宋_GB2312" w:hAnsi="仿宋_GB2312" w:cs="仿宋_GB2312"/>
                <w:sz w:val="24"/>
              </w:rPr>
            </w:pPr>
          </w:p>
          <w:p w14:paraId="71C2B078" w14:textId="77777777" w:rsidR="007B4313" w:rsidRPr="007B4313" w:rsidRDefault="007B4313" w:rsidP="007B4313">
            <w:pPr>
              <w:rPr>
                <w:rFonts w:ascii="仿宋_GB2312" w:eastAsia="仿宋_GB2312" w:hAnsi="仿宋_GB2312" w:cs="仿宋_GB2312"/>
                <w:sz w:val="24"/>
              </w:rPr>
            </w:pPr>
          </w:p>
          <w:p w14:paraId="54F8E068" w14:textId="77777777" w:rsidR="007B4313" w:rsidRPr="007B4313" w:rsidRDefault="007B4313" w:rsidP="007B4313">
            <w:pPr>
              <w:rPr>
                <w:rFonts w:ascii="仿宋_GB2312" w:eastAsia="仿宋_GB2312" w:hAnsi="仿宋_GB2312" w:cs="仿宋_GB2312"/>
                <w:sz w:val="24"/>
              </w:rPr>
            </w:pPr>
          </w:p>
          <w:p w14:paraId="6AC5D683" w14:textId="77777777" w:rsidR="007B4313" w:rsidRPr="007B4313" w:rsidRDefault="007B4313" w:rsidP="007B4313">
            <w:pPr>
              <w:rPr>
                <w:rFonts w:ascii="仿宋_GB2312" w:eastAsia="仿宋_GB2312" w:hAnsi="仿宋_GB2312" w:cs="仿宋_GB2312"/>
                <w:sz w:val="24"/>
              </w:rPr>
            </w:pPr>
          </w:p>
          <w:p w14:paraId="42C34C89" w14:textId="77777777" w:rsidR="007B4313" w:rsidRPr="007B4313" w:rsidRDefault="007B4313" w:rsidP="007B4313">
            <w:pPr>
              <w:rPr>
                <w:rFonts w:ascii="仿宋_GB2312" w:eastAsia="仿宋_GB2312" w:hAnsi="仿宋_GB2312" w:cs="仿宋_GB2312"/>
                <w:sz w:val="24"/>
              </w:rPr>
            </w:pPr>
          </w:p>
          <w:p w14:paraId="595C01CE" w14:textId="77777777" w:rsidR="007B4313" w:rsidRPr="007B4313" w:rsidRDefault="007B4313" w:rsidP="007B4313">
            <w:pPr>
              <w:rPr>
                <w:rFonts w:ascii="仿宋_GB2312" w:eastAsia="仿宋_GB2312" w:hAnsi="仿宋_GB2312" w:cs="仿宋_GB2312"/>
                <w:sz w:val="24"/>
              </w:rPr>
            </w:pPr>
          </w:p>
          <w:p w14:paraId="39BE141A" w14:textId="77777777" w:rsidR="007B4313" w:rsidRPr="007B4313" w:rsidRDefault="007B4313" w:rsidP="007B4313">
            <w:pPr>
              <w:rPr>
                <w:rFonts w:ascii="仿宋_GB2312" w:eastAsia="仿宋_GB2312" w:hAnsi="仿宋_GB2312" w:cs="仿宋_GB2312"/>
                <w:sz w:val="24"/>
              </w:rPr>
            </w:pPr>
          </w:p>
          <w:p w14:paraId="4C16023C" w14:textId="77777777" w:rsidR="007B4313" w:rsidRPr="007B4313" w:rsidRDefault="007B4313" w:rsidP="007B4313">
            <w:pPr>
              <w:rPr>
                <w:rFonts w:ascii="仿宋_GB2312" w:eastAsia="仿宋_GB2312" w:hAnsi="仿宋_GB2312" w:cs="仿宋_GB2312"/>
                <w:sz w:val="24"/>
              </w:rPr>
            </w:pPr>
          </w:p>
          <w:p w14:paraId="03609B02" w14:textId="77777777" w:rsidR="007B4313" w:rsidRPr="007B4313" w:rsidRDefault="007B4313" w:rsidP="007B4313">
            <w:pPr>
              <w:rPr>
                <w:rFonts w:ascii="仿宋_GB2312" w:eastAsia="仿宋_GB2312" w:hAnsi="仿宋_GB2312" w:cs="仿宋_GB2312"/>
                <w:sz w:val="24"/>
              </w:rPr>
            </w:pPr>
          </w:p>
          <w:p w14:paraId="2C273BB9" w14:textId="77777777" w:rsidR="007B4313" w:rsidRPr="007B4313" w:rsidRDefault="007B4313" w:rsidP="007B4313">
            <w:pPr>
              <w:rPr>
                <w:rFonts w:ascii="仿宋_GB2312" w:eastAsia="仿宋_GB2312" w:hAnsi="仿宋_GB2312" w:cs="仿宋_GB2312"/>
                <w:sz w:val="24"/>
              </w:rPr>
            </w:pPr>
          </w:p>
          <w:p w14:paraId="782AF12F" w14:textId="77777777" w:rsidR="007B4313" w:rsidRPr="007B4313" w:rsidRDefault="007B4313" w:rsidP="007B4313">
            <w:pPr>
              <w:rPr>
                <w:rFonts w:ascii="仿宋_GB2312" w:eastAsia="仿宋_GB2312" w:hAnsi="仿宋_GB2312" w:cs="仿宋_GB2312"/>
                <w:sz w:val="24"/>
              </w:rPr>
            </w:pPr>
          </w:p>
          <w:p w14:paraId="22739522" w14:textId="77777777" w:rsidR="007B4313" w:rsidRPr="007B4313" w:rsidRDefault="007B4313" w:rsidP="007B4313">
            <w:pPr>
              <w:rPr>
                <w:rFonts w:ascii="仿宋_GB2312" w:eastAsia="仿宋_GB2312" w:hAnsi="仿宋_GB2312" w:cs="仿宋_GB2312"/>
                <w:sz w:val="24"/>
              </w:rPr>
            </w:pPr>
          </w:p>
          <w:p w14:paraId="472CF2F9" w14:textId="77777777" w:rsidR="007B4313" w:rsidRPr="007B4313" w:rsidRDefault="007B4313" w:rsidP="007B4313">
            <w:pPr>
              <w:rPr>
                <w:rFonts w:ascii="仿宋_GB2312" w:eastAsia="仿宋_GB2312" w:hAnsi="仿宋_GB2312" w:cs="仿宋_GB2312"/>
                <w:sz w:val="24"/>
              </w:rPr>
            </w:pPr>
          </w:p>
          <w:p w14:paraId="22720816" w14:textId="77777777" w:rsidR="007B4313" w:rsidRPr="007B4313" w:rsidRDefault="007B4313" w:rsidP="007B4313">
            <w:pPr>
              <w:rPr>
                <w:rFonts w:ascii="仿宋_GB2312" w:eastAsia="仿宋_GB2312" w:hAnsi="仿宋_GB2312" w:cs="仿宋_GB2312"/>
                <w:sz w:val="24"/>
              </w:rPr>
            </w:pPr>
          </w:p>
        </w:tc>
        <w:tc>
          <w:tcPr>
            <w:tcW w:w="1135" w:type="dxa"/>
            <w:vMerge w:val="restart"/>
            <w:vAlign w:val="center"/>
          </w:tcPr>
          <w:p w14:paraId="0BACEE5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设备</w:t>
            </w:r>
          </w:p>
          <w:p w14:paraId="04412C5F"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系统</w:t>
            </w:r>
          </w:p>
          <w:p w14:paraId="534FF008"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40%）</w:t>
            </w:r>
          </w:p>
        </w:tc>
        <w:tc>
          <w:tcPr>
            <w:tcW w:w="1309" w:type="dxa"/>
            <w:tcBorders>
              <w:top w:val="nil"/>
              <w:left w:val="single" w:sz="4" w:space="0" w:color="auto"/>
              <w:bottom w:val="single" w:sz="4" w:space="0" w:color="auto"/>
              <w:right w:val="single" w:sz="4" w:space="0" w:color="auto"/>
            </w:tcBorders>
            <w:shd w:val="clear" w:color="auto" w:fill="auto"/>
            <w:vAlign w:val="center"/>
          </w:tcPr>
          <w:p w14:paraId="3CB8539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w:t>
            </w:r>
          </w:p>
          <w:p w14:paraId="066BF59E"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（20%）</w:t>
            </w:r>
          </w:p>
        </w:tc>
        <w:tc>
          <w:tcPr>
            <w:tcW w:w="5012" w:type="dxa"/>
            <w:vAlign w:val="center"/>
          </w:tcPr>
          <w:p w14:paraId="76BA6A7D"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企业的数字化设备覆盖范围</w:t>
            </w:r>
          </w:p>
          <w:p w14:paraId="6894312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□单个业务环节 </w:t>
            </w:r>
          </w:p>
          <w:p w14:paraId="182F574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□关键业务环节 </w:t>
            </w:r>
          </w:p>
          <w:p w14:paraId="6B330C2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□绝大部分业务环节 </w:t>
            </w:r>
          </w:p>
          <w:p w14:paraId="20667FE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□全覆盖</w:t>
            </w:r>
          </w:p>
          <w:p w14:paraId="17456FE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5DE2A01F"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单选</w:t>
            </w:r>
          </w:p>
        </w:tc>
      </w:tr>
      <w:tr w:rsidR="00AC36B1" w14:paraId="4B774620" w14:textId="77777777">
        <w:trPr>
          <w:jc w:val="center"/>
        </w:trPr>
        <w:tc>
          <w:tcPr>
            <w:tcW w:w="1135" w:type="dxa"/>
            <w:vMerge/>
            <w:vAlign w:val="center"/>
          </w:tcPr>
          <w:p w14:paraId="72D39D67"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ign w:val="center"/>
          </w:tcPr>
          <w:p w14:paraId="3B4A7E04"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309" w:type="dxa"/>
            <w:tcBorders>
              <w:top w:val="nil"/>
              <w:left w:val="single" w:sz="4" w:space="0" w:color="auto"/>
              <w:bottom w:val="single" w:sz="4" w:space="0" w:color="auto"/>
              <w:right w:val="single" w:sz="4" w:space="0" w:color="auto"/>
            </w:tcBorders>
            <w:shd w:val="clear" w:color="auto" w:fill="auto"/>
            <w:vAlign w:val="center"/>
          </w:tcPr>
          <w:p w14:paraId="33D13433"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w:t>
            </w:r>
          </w:p>
          <w:p w14:paraId="7BCC4CB5"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（30%）</w:t>
            </w:r>
          </w:p>
        </w:tc>
        <w:tc>
          <w:tcPr>
            <w:tcW w:w="5012" w:type="dxa"/>
            <w:vAlign w:val="center"/>
          </w:tcPr>
          <w:p w14:paraId="67A7C732"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企业的数字化设备联网率</w:t>
            </w:r>
          </w:p>
          <w:p w14:paraId="2A91A45A"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0-10%] </w:t>
            </w:r>
          </w:p>
          <w:p w14:paraId="305AECB5"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10%,20%] </w:t>
            </w:r>
          </w:p>
          <w:p w14:paraId="2B37B7B1"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20%,30%] </w:t>
            </w:r>
          </w:p>
          <w:p w14:paraId="138ED646"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30%,40%] </w:t>
            </w:r>
          </w:p>
          <w:p w14:paraId="69BEEE2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□40%以上</w:t>
            </w:r>
          </w:p>
        </w:tc>
        <w:tc>
          <w:tcPr>
            <w:tcW w:w="459" w:type="dxa"/>
            <w:shd w:val="clear" w:color="auto" w:fill="auto"/>
            <w:vAlign w:val="center"/>
          </w:tcPr>
          <w:p w14:paraId="5CC34D3F"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单选</w:t>
            </w:r>
          </w:p>
        </w:tc>
      </w:tr>
      <w:tr w:rsidR="00AC36B1" w14:paraId="179DB5B1" w14:textId="77777777">
        <w:trPr>
          <w:jc w:val="center"/>
        </w:trPr>
        <w:tc>
          <w:tcPr>
            <w:tcW w:w="1135" w:type="dxa"/>
            <w:vMerge/>
            <w:vAlign w:val="center"/>
          </w:tcPr>
          <w:p w14:paraId="39CA041B"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ign w:val="center"/>
          </w:tcPr>
          <w:p w14:paraId="160C486B"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309" w:type="dxa"/>
            <w:tcBorders>
              <w:top w:val="nil"/>
              <w:left w:val="single" w:sz="4" w:space="0" w:color="auto"/>
              <w:bottom w:val="single" w:sz="4" w:space="0" w:color="auto"/>
              <w:right w:val="single" w:sz="4" w:space="0" w:color="auto"/>
            </w:tcBorders>
            <w:shd w:val="clear" w:color="auto" w:fill="auto"/>
            <w:vAlign w:val="center"/>
          </w:tcPr>
          <w:p w14:paraId="7042E4B8"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3</w:t>
            </w:r>
          </w:p>
          <w:p w14:paraId="514D5B5B"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（30%）</w:t>
            </w:r>
          </w:p>
        </w:tc>
        <w:tc>
          <w:tcPr>
            <w:tcW w:w="5012" w:type="dxa"/>
            <w:vAlign w:val="center"/>
          </w:tcPr>
          <w:p w14:paraId="1FB69D4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企业的关键工序数控化率</w:t>
            </w:r>
          </w:p>
          <w:p w14:paraId="3BBCAA39"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0-30%] </w:t>
            </w:r>
          </w:p>
          <w:p w14:paraId="4FDB2918"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30%,45%] </w:t>
            </w:r>
          </w:p>
          <w:p w14:paraId="25C45623"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45%,60%] </w:t>
            </w:r>
          </w:p>
          <w:p w14:paraId="78293D1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□60%以上</w:t>
            </w:r>
          </w:p>
        </w:tc>
        <w:tc>
          <w:tcPr>
            <w:tcW w:w="459" w:type="dxa"/>
            <w:shd w:val="clear" w:color="auto" w:fill="auto"/>
            <w:vAlign w:val="center"/>
          </w:tcPr>
          <w:p w14:paraId="6119033A"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单选</w:t>
            </w:r>
          </w:p>
        </w:tc>
      </w:tr>
      <w:tr w:rsidR="00AC36B1" w14:paraId="175E8A5C" w14:textId="77777777">
        <w:trPr>
          <w:jc w:val="center"/>
        </w:trPr>
        <w:tc>
          <w:tcPr>
            <w:tcW w:w="1135" w:type="dxa"/>
            <w:vMerge/>
            <w:vAlign w:val="center"/>
          </w:tcPr>
          <w:p w14:paraId="1850172D"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ign w:val="center"/>
          </w:tcPr>
          <w:p w14:paraId="5395E4F3"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309" w:type="dxa"/>
            <w:tcBorders>
              <w:top w:val="nil"/>
              <w:left w:val="single" w:sz="4" w:space="0" w:color="auto"/>
              <w:bottom w:val="single" w:sz="4" w:space="0" w:color="auto"/>
              <w:right w:val="single" w:sz="4" w:space="0" w:color="auto"/>
            </w:tcBorders>
            <w:shd w:val="clear" w:color="auto" w:fill="auto"/>
            <w:vAlign w:val="center"/>
          </w:tcPr>
          <w:p w14:paraId="387D22AF"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4</w:t>
            </w:r>
          </w:p>
          <w:p w14:paraId="33A85656"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（20%）</w:t>
            </w:r>
          </w:p>
        </w:tc>
        <w:tc>
          <w:tcPr>
            <w:tcW w:w="5012" w:type="dxa"/>
            <w:vAlign w:val="center"/>
          </w:tcPr>
          <w:p w14:paraId="5C04F50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企业通过部署工业互联网</w:t>
            </w:r>
            <w:proofErr w:type="gramStart"/>
            <w:r>
              <w:rPr>
                <w:rFonts w:ascii="仿宋_GB2312" w:eastAsia="仿宋_GB2312" w:hAnsi="仿宋_GB2312" w:cs="仿宋_GB2312"/>
                <w:sz w:val="24"/>
              </w:rPr>
              <w:t>公有云/私有云</w:t>
            </w:r>
            <w:proofErr w:type="gramEnd"/>
            <w:r>
              <w:rPr>
                <w:rFonts w:ascii="仿宋_GB2312" w:eastAsia="仿宋_GB2312" w:hAnsi="仿宋_GB2312" w:cs="仿宋_GB2312"/>
                <w:sz w:val="24"/>
              </w:rPr>
              <w:t xml:space="preserve">/混合云平台等形式，实现业务的数字化管理情况 </w:t>
            </w:r>
          </w:p>
          <w:p w14:paraId="453850C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□单个业务环节</w:t>
            </w:r>
          </w:p>
          <w:p w14:paraId="1C7FB03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□关键业务环节 </w:t>
            </w:r>
          </w:p>
          <w:p w14:paraId="69982A9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□绝大部分业务环节 </w:t>
            </w:r>
          </w:p>
          <w:p w14:paraId="0DA698F5"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□全覆盖</w:t>
            </w:r>
          </w:p>
          <w:p w14:paraId="4B46A80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70A8D0C8"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单选</w:t>
            </w:r>
          </w:p>
        </w:tc>
      </w:tr>
      <w:tr w:rsidR="00AC36B1" w14:paraId="39ABA499" w14:textId="77777777">
        <w:trPr>
          <w:jc w:val="center"/>
        </w:trPr>
        <w:tc>
          <w:tcPr>
            <w:tcW w:w="1135" w:type="dxa"/>
            <w:vMerge/>
            <w:vAlign w:val="center"/>
          </w:tcPr>
          <w:p w14:paraId="20EEAF16"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restart"/>
            <w:vAlign w:val="center"/>
          </w:tcPr>
          <w:p w14:paraId="7FBF934A"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数据</w:t>
            </w:r>
          </w:p>
          <w:p w14:paraId="738275D7"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资源</w:t>
            </w:r>
          </w:p>
          <w:p w14:paraId="6EEFB1F6"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30%）</w:t>
            </w:r>
          </w:p>
        </w:tc>
        <w:tc>
          <w:tcPr>
            <w:tcW w:w="1309" w:type="dxa"/>
            <w:tcBorders>
              <w:top w:val="nil"/>
              <w:left w:val="single" w:sz="4" w:space="0" w:color="auto"/>
              <w:bottom w:val="single" w:sz="4" w:space="0" w:color="auto"/>
              <w:right w:val="single" w:sz="4" w:space="0" w:color="auto"/>
            </w:tcBorders>
            <w:shd w:val="clear" w:color="auto" w:fill="auto"/>
            <w:vAlign w:val="center"/>
          </w:tcPr>
          <w:p w14:paraId="7C8B2A1E"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5</w:t>
            </w:r>
          </w:p>
          <w:p w14:paraId="01DBB591"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（60%）</w:t>
            </w:r>
          </w:p>
        </w:tc>
        <w:tc>
          <w:tcPr>
            <w:tcW w:w="5012" w:type="dxa"/>
            <w:vAlign w:val="center"/>
          </w:tcPr>
          <w:p w14:paraId="64D1281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企业实现数据自动/半自动获取并展示的业务环节覆盖范围</w:t>
            </w:r>
          </w:p>
          <w:p w14:paraId="46FC8900"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□研发设计 □生产管控 □质量控制 □仓储配送（厂内） □设备管理 □采购 □销售 □物流（厂外） □财务 □人力 □以上均无</w:t>
            </w:r>
          </w:p>
        </w:tc>
        <w:tc>
          <w:tcPr>
            <w:tcW w:w="459" w:type="dxa"/>
            <w:shd w:val="clear" w:color="auto" w:fill="auto"/>
            <w:vAlign w:val="center"/>
          </w:tcPr>
          <w:p w14:paraId="612092C6"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多选</w:t>
            </w:r>
          </w:p>
        </w:tc>
      </w:tr>
      <w:tr w:rsidR="00AC36B1" w14:paraId="7F6C042B" w14:textId="77777777">
        <w:trPr>
          <w:jc w:val="center"/>
        </w:trPr>
        <w:tc>
          <w:tcPr>
            <w:tcW w:w="1135" w:type="dxa"/>
            <w:vMerge/>
            <w:vAlign w:val="center"/>
          </w:tcPr>
          <w:p w14:paraId="08D6664A"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ign w:val="center"/>
          </w:tcPr>
          <w:p w14:paraId="241EDD28"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309" w:type="dxa"/>
            <w:tcBorders>
              <w:top w:val="nil"/>
              <w:left w:val="single" w:sz="4" w:space="0" w:color="auto"/>
              <w:bottom w:val="single" w:sz="4" w:space="0" w:color="auto"/>
              <w:right w:val="single" w:sz="4" w:space="0" w:color="auto"/>
            </w:tcBorders>
            <w:shd w:val="clear" w:color="auto" w:fill="auto"/>
            <w:vAlign w:val="center"/>
          </w:tcPr>
          <w:p w14:paraId="4F170AD1"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6</w:t>
            </w:r>
          </w:p>
          <w:p w14:paraId="4206D21C"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（40%）</w:t>
            </w:r>
          </w:p>
        </w:tc>
        <w:tc>
          <w:tcPr>
            <w:tcW w:w="5012" w:type="dxa"/>
            <w:vAlign w:val="center"/>
          </w:tcPr>
          <w:p w14:paraId="1AB76260"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企业实现各类数据汇聚及应用的情况</w:t>
            </w:r>
          </w:p>
          <w:p w14:paraId="0845CD6D"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□建立了统一的数据编码、数据交换格式和规</w:t>
            </w:r>
            <w:r>
              <w:rPr>
                <w:rFonts w:ascii="仿宋_GB2312" w:eastAsia="仿宋_GB2312" w:hAnsi="仿宋_GB2312" w:cs="仿宋_GB2312"/>
                <w:sz w:val="24"/>
              </w:rPr>
              <w:lastRenderedPageBreak/>
              <w:t>则等</w:t>
            </w:r>
          </w:p>
          <w:p w14:paraId="78E68C30"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□实现了数据及分析结果的跨部门共享</w:t>
            </w:r>
          </w:p>
          <w:p w14:paraId="3F9CF31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□构建了数据算法模型，支撑业务人员进行数据分析</w:t>
            </w:r>
          </w:p>
          <w:p w14:paraId="03278C1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□构建了可视化数据分析工具</w:t>
            </w:r>
          </w:p>
          <w:p w14:paraId="1F36C938"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13D221EC"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lastRenderedPageBreak/>
              <w:t>多选</w:t>
            </w:r>
          </w:p>
        </w:tc>
      </w:tr>
      <w:tr w:rsidR="00AC36B1" w14:paraId="67FC985C" w14:textId="77777777">
        <w:trPr>
          <w:jc w:val="center"/>
        </w:trPr>
        <w:tc>
          <w:tcPr>
            <w:tcW w:w="1135" w:type="dxa"/>
            <w:vMerge/>
            <w:vAlign w:val="center"/>
          </w:tcPr>
          <w:p w14:paraId="6DE8D09E"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Align w:val="center"/>
          </w:tcPr>
          <w:p w14:paraId="179825E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网络</w:t>
            </w:r>
          </w:p>
          <w:p w14:paraId="42F3B78F"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安全</w:t>
            </w:r>
          </w:p>
          <w:p w14:paraId="1AD5C736"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30%）</w:t>
            </w:r>
          </w:p>
        </w:tc>
        <w:tc>
          <w:tcPr>
            <w:tcW w:w="1309" w:type="dxa"/>
            <w:tcBorders>
              <w:top w:val="nil"/>
              <w:left w:val="single" w:sz="4" w:space="0" w:color="auto"/>
              <w:bottom w:val="single" w:sz="4" w:space="0" w:color="auto"/>
              <w:right w:val="single" w:sz="4" w:space="0" w:color="auto"/>
            </w:tcBorders>
            <w:shd w:val="clear" w:color="auto" w:fill="auto"/>
            <w:vAlign w:val="center"/>
          </w:tcPr>
          <w:p w14:paraId="1648296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7</w:t>
            </w:r>
          </w:p>
        </w:tc>
        <w:tc>
          <w:tcPr>
            <w:tcW w:w="5012" w:type="dxa"/>
            <w:vAlign w:val="center"/>
          </w:tcPr>
          <w:p w14:paraId="696A070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企业在保障网络安全方面采取的举措情况</w:t>
            </w:r>
          </w:p>
          <w:p w14:paraId="239C558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□使用了工业级网络安全产品及服务，尚未建立网络安全保障制度</w:t>
            </w:r>
          </w:p>
          <w:p w14:paraId="3F893E62"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□建立了网络安全保障制度，尚未开展网络安全等级自评估</w:t>
            </w:r>
          </w:p>
          <w:p w14:paraId="0F2B0D7F"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□开展了网络安全等级自评估，尚未通过第三方机构的验收认定</w:t>
            </w:r>
          </w:p>
          <w:p w14:paraId="01B1771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□网络安全等级评估通过了第三方机构的验收认定</w:t>
            </w:r>
          </w:p>
          <w:p w14:paraId="1032587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7677AB8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单选</w:t>
            </w:r>
          </w:p>
        </w:tc>
      </w:tr>
      <w:tr w:rsidR="00AC36B1" w14:paraId="545F7F6E" w14:textId="77777777">
        <w:trPr>
          <w:jc w:val="center"/>
        </w:trPr>
        <w:tc>
          <w:tcPr>
            <w:tcW w:w="1135" w:type="dxa"/>
            <w:vMerge w:val="restart"/>
            <w:vAlign w:val="center"/>
          </w:tcPr>
          <w:p w14:paraId="606DE95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hint="eastAsia"/>
                <w:sz w:val="24"/>
              </w:rPr>
              <w:t>二、</w:t>
            </w:r>
          </w:p>
          <w:p w14:paraId="739DD2B2"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数字化经营</w:t>
            </w:r>
          </w:p>
          <w:p w14:paraId="08A8EEE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45%）</w:t>
            </w:r>
          </w:p>
        </w:tc>
        <w:tc>
          <w:tcPr>
            <w:tcW w:w="1135" w:type="dxa"/>
            <w:vAlign w:val="center"/>
          </w:tcPr>
          <w:p w14:paraId="53E2C21A"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研发</w:t>
            </w:r>
          </w:p>
          <w:p w14:paraId="3D3D4EA4"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设计</w:t>
            </w:r>
          </w:p>
          <w:p w14:paraId="73FEB255"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14%）</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D0C4F08"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8</w:t>
            </w:r>
          </w:p>
        </w:tc>
        <w:tc>
          <w:tcPr>
            <w:tcW w:w="5012" w:type="dxa"/>
            <w:shd w:val="clear" w:color="auto" w:fill="auto"/>
            <w:vAlign w:val="center"/>
          </w:tcPr>
          <w:p w14:paraId="2C40ABF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研发设计环节，企业开展数字化研发设计的情况</w:t>
            </w:r>
          </w:p>
          <w:p w14:paraId="4811F63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（50%以上关键业务研发设计项目实现下列数字化场景即</w:t>
            </w:r>
            <w:proofErr w:type="gramStart"/>
            <w:r>
              <w:rPr>
                <w:rFonts w:ascii="仿宋_GB2312" w:eastAsia="仿宋_GB2312" w:hAnsi="仿宋_GB2312" w:cs="仿宋_GB2312"/>
                <w:sz w:val="24"/>
              </w:rPr>
              <w:t>可勾选该项</w:t>
            </w:r>
            <w:proofErr w:type="gramEnd"/>
            <w:r>
              <w:rPr>
                <w:rFonts w:ascii="仿宋_GB2312" w:eastAsia="仿宋_GB2312" w:hAnsi="仿宋_GB2312" w:cs="仿宋_GB2312"/>
                <w:sz w:val="24"/>
              </w:rPr>
              <w:t>）</w:t>
            </w:r>
          </w:p>
          <w:p w14:paraId="741EE9B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□应用二维、三维计算机设计软件辅助开展设计工作</w:t>
            </w:r>
          </w:p>
          <w:p w14:paraId="60F87CC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□使用PDM或PLM等软件实现文档、数据、流程等的共享和统一管理</w:t>
            </w:r>
          </w:p>
          <w:p w14:paraId="37D89938"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□建设和应用产品设计标准库、组件库或知识库</w:t>
            </w:r>
          </w:p>
          <w:p w14:paraId="0B7ABD88"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□将产品设计信息集成于产品的数字化模型中，实现产品设计数据的唯一性</w:t>
            </w:r>
          </w:p>
          <w:p w14:paraId="7EC5C91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□实现产品设计和工艺设计间的信息</w:t>
            </w:r>
            <w:proofErr w:type="gramStart"/>
            <w:r>
              <w:rPr>
                <w:rFonts w:ascii="仿宋_GB2312" w:eastAsia="仿宋_GB2312" w:hAnsi="仿宋_GB2312" w:cs="仿宋_GB2312"/>
                <w:sz w:val="24"/>
              </w:rPr>
              <w:t>交互和</w:t>
            </w:r>
            <w:proofErr w:type="gramEnd"/>
            <w:r>
              <w:rPr>
                <w:rFonts w:ascii="仿宋_GB2312" w:eastAsia="仿宋_GB2312" w:hAnsi="仿宋_GB2312" w:cs="仿宋_GB2312"/>
                <w:sz w:val="24"/>
              </w:rPr>
              <w:t>并行协同</w:t>
            </w:r>
          </w:p>
          <w:p w14:paraId="04C1856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0F2688EC"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多选</w:t>
            </w:r>
          </w:p>
        </w:tc>
      </w:tr>
      <w:tr w:rsidR="00AC36B1" w14:paraId="4EDFDFFC" w14:textId="77777777">
        <w:trPr>
          <w:jc w:val="center"/>
        </w:trPr>
        <w:tc>
          <w:tcPr>
            <w:tcW w:w="1135" w:type="dxa"/>
            <w:vMerge/>
            <w:vAlign w:val="center"/>
          </w:tcPr>
          <w:p w14:paraId="6EA8738D"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restart"/>
            <w:vAlign w:val="center"/>
          </w:tcPr>
          <w:p w14:paraId="4F65EB32"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生产</w:t>
            </w:r>
          </w:p>
          <w:p w14:paraId="13FCCA7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管控</w:t>
            </w:r>
          </w:p>
          <w:p w14:paraId="63F0D16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42%）</w:t>
            </w:r>
          </w:p>
        </w:tc>
        <w:tc>
          <w:tcPr>
            <w:tcW w:w="1309" w:type="dxa"/>
            <w:tcBorders>
              <w:top w:val="nil"/>
              <w:left w:val="single" w:sz="4" w:space="0" w:color="auto"/>
              <w:bottom w:val="single" w:sz="4" w:space="0" w:color="auto"/>
              <w:right w:val="single" w:sz="4" w:space="0" w:color="auto"/>
            </w:tcBorders>
            <w:shd w:val="clear" w:color="auto" w:fill="auto"/>
            <w:vAlign w:val="center"/>
          </w:tcPr>
          <w:p w14:paraId="289E853C"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9</w:t>
            </w:r>
          </w:p>
          <w:p w14:paraId="646A0B56"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（20%）</w:t>
            </w:r>
          </w:p>
        </w:tc>
        <w:tc>
          <w:tcPr>
            <w:tcW w:w="5012" w:type="dxa"/>
            <w:shd w:val="clear" w:color="auto" w:fill="auto"/>
            <w:vAlign w:val="center"/>
          </w:tcPr>
          <w:p w14:paraId="5341D974"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生产计划环节，企业实现生产计划排</w:t>
            </w:r>
            <w:proofErr w:type="gramStart"/>
            <w:r>
              <w:rPr>
                <w:rFonts w:ascii="仿宋_GB2312" w:eastAsia="仿宋_GB2312" w:hAnsi="仿宋_GB2312" w:cs="仿宋_GB2312"/>
                <w:sz w:val="24"/>
              </w:rPr>
              <w:t>产排程</w:t>
            </w:r>
            <w:proofErr w:type="gramEnd"/>
            <w:r>
              <w:rPr>
                <w:rFonts w:ascii="仿宋_GB2312" w:eastAsia="仿宋_GB2312" w:hAnsi="仿宋_GB2312" w:cs="仿宋_GB2312"/>
                <w:sz w:val="24"/>
              </w:rPr>
              <w:t>的情况</w:t>
            </w:r>
          </w:p>
          <w:p w14:paraId="2040109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□通过信息系统实现具有约束条件的主生产计划生产和物料需求计算</w:t>
            </w:r>
          </w:p>
          <w:p w14:paraId="54C9DF80"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□通过信息系统开展车间计划排产</w:t>
            </w:r>
          </w:p>
          <w:p w14:paraId="5F901F7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□部分车间生产计划实现自动排产</w:t>
            </w:r>
          </w:p>
          <w:p w14:paraId="3715177D"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□全部车间生产计划实现自动排产</w:t>
            </w:r>
          </w:p>
          <w:p w14:paraId="3F32F3C5"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20BEB2D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单选</w:t>
            </w:r>
          </w:p>
        </w:tc>
      </w:tr>
      <w:tr w:rsidR="00AC36B1" w14:paraId="53FF045C" w14:textId="77777777">
        <w:trPr>
          <w:jc w:val="center"/>
        </w:trPr>
        <w:tc>
          <w:tcPr>
            <w:tcW w:w="1135" w:type="dxa"/>
            <w:vMerge/>
            <w:vAlign w:val="center"/>
          </w:tcPr>
          <w:p w14:paraId="7DA0A660"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ign w:val="center"/>
          </w:tcPr>
          <w:p w14:paraId="171BBD4B"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309" w:type="dxa"/>
            <w:tcBorders>
              <w:top w:val="nil"/>
              <w:left w:val="single" w:sz="4" w:space="0" w:color="auto"/>
              <w:bottom w:val="single" w:sz="4" w:space="0" w:color="auto"/>
              <w:right w:val="single" w:sz="4" w:space="0" w:color="auto"/>
            </w:tcBorders>
            <w:shd w:val="clear" w:color="auto" w:fill="auto"/>
            <w:vAlign w:val="center"/>
          </w:tcPr>
          <w:p w14:paraId="1E39A902"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10</w:t>
            </w:r>
          </w:p>
          <w:p w14:paraId="25158580"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（10%）</w:t>
            </w:r>
          </w:p>
        </w:tc>
        <w:tc>
          <w:tcPr>
            <w:tcW w:w="5012" w:type="dxa"/>
            <w:shd w:val="clear" w:color="auto" w:fill="auto"/>
            <w:vAlign w:val="center"/>
          </w:tcPr>
          <w:p w14:paraId="45AF35D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生产监控环节，企业利用信息系统实现生产过程监控的情况</w:t>
            </w:r>
          </w:p>
          <w:p w14:paraId="6DB0AD9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lastRenderedPageBreak/>
              <w:t>□设备：能够在一种或多种单个设备层面实现生产过程监控</w:t>
            </w:r>
          </w:p>
          <w:p w14:paraId="2DFFDD02"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□工序：能够在一道或多道工序层面实现生产过程监控。</w:t>
            </w:r>
          </w:p>
          <w:p w14:paraId="4BCE724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□生产线：能够在一条或多条生产线层面实现生产过程监控</w:t>
            </w:r>
          </w:p>
          <w:p w14:paraId="4A025AB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□车间：能够在一个或多个车间层面实现生产过程监控。</w:t>
            </w:r>
          </w:p>
          <w:p w14:paraId="575E16C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4F9CF8BB"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lastRenderedPageBreak/>
              <w:t>多选</w:t>
            </w:r>
          </w:p>
        </w:tc>
      </w:tr>
      <w:tr w:rsidR="00AC36B1" w14:paraId="610FCB18" w14:textId="77777777">
        <w:trPr>
          <w:jc w:val="center"/>
        </w:trPr>
        <w:tc>
          <w:tcPr>
            <w:tcW w:w="1135" w:type="dxa"/>
            <w:vMerge/>
            <w:vAlign w:val="center"/>
          </w:tcPr>
          <w:p w14:paraId="795722DF"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ign w:val="center"/>
          </w:tcPr>
          <w:p w14:paraId="1EE1C2F8"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309" w:type="dxa"/>
            <w:tcBorders>
              <w:top w:val="nil"/>
              <w:left w:val="single" w:sz="4" w:space="0" w:color="auto"/>
              <w:bottom w:val="single" w:sz="4" w:space="0" w:color="auto"/>
              <w:right w:val="single" w:sz="4" w:space="0" w:color="auto"/>
            </w:tcBorders>
            <w:shd w:val="clear" w:color="auto" w:fill="auto"/>
            <w:vAlign w:val="center"/>
          </w:tcPr>
          <w:p w14:paraId="5601649B"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11</w:t>
            </w:r>
          </w:p>
          <w:p w14:paraId="0E7D7736"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（30%）</w:t>
            </w:r>
          </w:p>
        </w:tc>
        <w:tc>
          <w:tcPr>
            <w:tcW w:w="5012" w:type="dxa"/>
            <w:shd w:val="clear" w:color="auto" w:fill="auto"/>
            <w:vAlign w:val="center"/>
          </w:tcPr>
          <w:p w14:paraId="7E53117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生产作业环节，企业实现智能制造典型场景的覆盖范围</w:t>
            </w:r>
          </w:p>
          <w:p w14:paraId="53D284B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□自动巡检：应用智能巡检装备或设备管理系统，集成数字化技术，实现对设备的高效巡检或异常报警等（50%以上关键业务设备实现下列数字化场景即</w:t>
            </w:r>
            <w:proofErr w:type="gramStart"/>
            <w:r>
              <w:rPr>
                <w:rFonts w:ascii="仿宋_GB2312" w:eastAsia="仿宋_GB2312" w:hAnsi="仿宋_GB2312" w:cs="仿宋_GB2312"/>
                <w:sz w:val="24"/>
              </w:rPr>
              <w:t>可勾选该项</w:t>
            </w:r>
            <w:proofErr w:type="gramEnd"/>
            <w:r>
              <w:rPr>
                <w:rFonts w:ascii="仿宋_GB2312" w:eastAsia="仿宋_GB2312" w:hAnsi="仿宋_GB2312" w:cs="仿宋_GB2312"/>
                <w:sz w:val="24"/>
              </w:rPr>
              <w:t>）</w:t>
            </w:r>
          </w:p>
          <w:p w14:paraId="4E3AED3F"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□生产过程可视化：依托各类生产、系统集成，实现生产成本、交期或订单执行进度的可视化（50%以上关键业务生产成本、交期或订单执行进度实现即可勾选）</w:t>
            </w:r>
          </w:p>
          <w:p w14:paraId="45AC78A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□精益生产管理：应用数字化工具和方法，开展数据驱动的人、机、料等精确管控，减少生产浪费（50%以上关键业务人、机、料等实现即可勾选）</w:t>
            </w:r>
          </w:p>
          <w:p w14:paraId="049CA42A"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□人机协同作业：集成机器人、高端机床或人机交互设备等智能装备，应用AR/VR、机器视觉等技术，实现生产的高效组织和作业协同（50%以上关键</w:t>
            </w:r>
            <w:proofErr w:type="gramStart"/>
            <w:r>
              <w:rPr>
                <w:rFonts w:ascii="仿宋_GB2312" w:eastAsia="仿宋_GB2312" w:hAnsi="仿宋_GB2312" w:cs="仿宋_GB2312"/>
                <w:sz w:val="24"/>
              </w:rPr>
              <w:t>产线实现</w:t>
            </w:r>
            <w:proofErr w:type="gramEnd"/>
            <w:r>
              <w:rPr>
                <w:rFonts w:ascii="仿宋_GB2312" w:eastAsia="仿宋_GB2312" w:hAnsi="仿宋_GB2312" w:cs="仿宋_GB2312"/>
                <w:sz w:val="24"/>
              </w:rPr>
              <w:t>即可勾选）</w:t>
            </w:r>
          </w:p>
          <w:p w14:paraId="0852936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□基于数字孪生的制造：构建装备、产线、车间、工厂等一种或几种不同层级的数字孪生系统，实现物理世界和虚拟空间的实时映射，推动感知、分析、预测和控制能力的全面提升（某一或几种/</w:t>
            </w:r>
            <w:proofErr w:type="gramStart"/>
            <w:r>
              <w:rPr>
                <w:rFonts w:ascii="仿宋_GB2312" w:eastAsia="仿宋_GB2312" w:hAnsi="仿宋_GB2312" w:cs="仿宋_GB2312"/>
                <w:sz w:val="24"/>
              </w:rPr>
              <w:t>个</w:t>
            </w:r>
            <w:proofErr w:type="gramEnd"/>
            <w:r>
              <w:rPr>
                <w:rFonts w:ascii="仿宋_GB2312" w:eastAsia="仿宋_GB2312" w:hAnsi="仿宋_GB2312" w:cs="仿宋_GB2312"/>
                <w:sz w:val="24"/>
              </w:rPr>
              <w:t>关键装备、产线、车间或工厂实现即可勾选）</w:t>
            </w:r>
          </w:p>
          <w:p w14:paraId="62EDE6C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5BBC477F"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多选</w:t>
            </w:r>
          </w:p>
        </w:tc>
      </w:tr>
      <w:tr w:rsidR="00AC36B1" w14:paraId="3B29D02D" w14:textId="77777777">
        <w:trPr>
          <w:jc w:val="center"/>
        </w:trPr>
        <w:tc>
          <w:tcPr>
            <w:tcW w:w="1135" w:type="dxa"/>
            <w:vMerge/>
            <w:vAlign w:val="center"/>
          </w:tcPr>
          <w:p w14:paraId="35EF5081"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ign w:val="center"/>
          </w:tcPr>
          <w:p w14:paraId="38F03736"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309" w:type="dxa"/>
            <w:tcBorders>
              <w:top w:val="nil"/>
              <w:left w:val="single" w:sz="4" w:space="0" w:color="auto"/>
              <w:bottom w:val="single" w:sz="4" w:space="0" w:color="auto"/>
              <w:right w:val="single" w:sz="4" w:space="0" w:color="auto"/>
            </w:tcBorders>
            <w:shd w:val="clear" w:color="auto" w:fill="auto"/>
            <w:vAlign w:val="center"/>
          </w:tcPr>
          <w:p w14:paraId="7282DDFE"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12</w:t>
            </w:r>
          </w:p>
          <w:p w14:paraId="218B4F23"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（20%）</w:t>
            </w:r>
          </w:p>
        </w:tc>
        <w:tc>
          <w:tcPr>
            <w:tcW w:w="5012" w:type="dxa"/>
            <w:shd w:val="clear" w:color="auto" w:fill="auto"/>
            <w:vAlign w:val="center"/>
          </w:tcPr>
          <w:p w14:paraId="7867C0E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质量控制环节，企业运用数字化手段提高质量控制能力的重点场景覆盖范围</w:t>
            </w:r>
          </w:p>
          <w:p w14:paraId="3F60AA9F"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（某一种或几种关键产品或物料实现即可勾选）</w:t>
            </w:r>
          </w:p>
          <w:p w14:paraId="7A7E78E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□数字化检测：应用数字化设备和技术，实现关键环节的在线检测、分析、结果判定</w:t>
            </w:r>
          </w:p>
          <w:p w14:paraId="60F0A894"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□质量精准追溯：应用数字化技术，采集产品</w:t>
            </w:r>
            <w:r>
              <w:rPr>
                <w:rFonts w:ascii="仿宋_GB2312" w:eastAsia="仿宋_GB2312" w:hAnsi="仿宋_GB2312" w:cs="仿宋_GB2312"/>
                <w:sz w:val="24"/>
              </w:rPr>
              <w:lastRenderedPageBreak/>
              <w:t>原料、生产过程、客户使用的质量信息等信息，实现产品质量全过程精准追溯</w:t>
            </w:r>
          </w:p>
          <w:p w14:paraId="0B802962"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□产品质量优化：应用数字化技术，实现产品质量影响因素识别、缺陷分析预测或质量优化提升</w:t>
            </w:r>
          </w:p>
          <w:p w14:paraId="4EC0527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□质量控制协同：利用数字化手段实现质量控制与相关业务的协同，包括质量与规范同步、检测数据与设备信息同步、供应</w:t>
            </w:r>
            <w:proofErr w:type="gramStart"/>
            <w:r>
              <w:rPr>
                <w:rFonts w:ascii="仿宋_GB2312" w:eastAsia="仿宋_GB2312" w:hAnsi="仿宋_GB2312" w:cs="仿宋_GB2312"/>
                <w:sz w:val="24"/>
              </w:rPr>
              <w:t>商质量</w:t>
            </w:r>
            <w:proofErr w:type="gramEnd"/>
            <w:r>
              <w:rPr>
                <w:rFonts w:ascii="仿宋_GB2312" w:eastAsia="仿宋_GB2312" w:hAnsi="仿宋_GB2312" w:cs="仿宋_GB2312"/>
                <w:sz w:val="24"/>
              </w:rPr>
              <w:t>信息同步、客户质量信息同步等</w:t>
            </w:r>
          </w:p>
          <w:p w14:paraId="432986F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2B2B6761"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lastRenderedPageBreak/>
              <w:t>多选</w:t>
            </w:r>
          </w:p>
        </w:tc>
      </w:tr>
      <w:tr w:rsidR="00AC36B1" w14:paraId="1026A0F4" w14:textId="77777777">
        <w:trPr>
          <w:jc w:val="center"/>
        </w:trPr>
        <w:tc>
          <w:tcPr>
            <w:tcW w:w="1135" w:type="dxa"/>
            <w:vMerge/>
            <w:vAlign w:val="center"/>
          </w:tcPr>
          <w:p w14:paraId="4E242351"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Merge/>
            <w:vAlign w:val="center"/>
          </w:tcPr>
          <w:p w14:paraId="5B6BB384"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309" w:type="dxa"/>
            <w:tcBorders>
              <w:top w:val="nil"/>
              <w:left w:val="single" w:sz="4" w:space="0" w:color="auto"/>
              <w:bottom w:val="single" w:sz="4" w:space="0" w:color="auto"/>
              <w:right w:val="single" w:sz="4" w:space="0" w:color="auto"/>
            </w:tcBorders>
            <w:shd w:val="clear" w:color="auto" w:fill="auto"/>
            <w:vAlign w:val="center"/>
          </w:tcPr>
          <w:p w14:paraId="4DD2A7AB"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13</w:t>
            </w:r>
          </w:p>
          <w:p w14:paraId="2577275C"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（20%）</w:t>
            </w:r>
          </w:p>
        </w:tc>
        <w:tc>
          <w:tcPr>
            <w:tcW w:w="5012" w:type="dxa"/>
            <w:shd w:val="clear" w:color="auto" w:fill="auto"/>
            <w:vAlign w:val="center"/>
          </w:tcPr>
          <w:p w14:paraId="672DBEE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仓储物流环节：企业实现仓储物流数字化场景的覆盖范围</w:t>
            </w:r>
          </w:p>
          <w:p w14:paraId="61016C8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（注1：50%以上关键原料、半成品、成品等实现下列数字化场景即</w:t>
            </w:r>
            <w:proofErr w:type="gramStart"/>
            <w:r>
              <w:rPr>
                <w:rFonts w:ascii="仿宋_GB2312" w:eastAsia="仿宋_GB2312" w:hAnsi="仿宋_GB2312" w:cs="仿宋_GB2312"/>
                <w:sz w:val="24"/>
              </w:rPr>
              <w:t>可勾选该项</w:t>
            </w:r>
            <w:proofErr w:type="gramEnd"/>
            <w:r>
              <w:rPr>
                <w:rFonts w:ascii="仿宋_GB2312" w:eastAsia="仿宋_GB2312" w:hAnsi="仿宋_GB2312" w:cs="仿宋_GB2312"/>
                <w:sz w:val="24"/>
              </w:rPr>
              <w:t>）</w:t>
            </w:r>
          </w:p>
          <w:p w14:paraId="0EAD2AE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（注2：通过第三方、第四方物流实现的仓储物流数字化，如覆盖下述场景也可勾选）</w:t>
            </w:r>
          </w:p>
          <w:p w14:paraId="24536158"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□物料条码管理：统一条码管理标识货物</w:t>
            </w:r>
          </w:p>
          <w:p w14:paraId="2DCA31C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□智能仓储：应用数字化技术，依据实际生产作业计划，实现物料自动入库（进厂）、盘库或出库（出厂）</w:t>
            </w:r>
          </w:p>
          <w:p w14:paraId="40E3893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□精准配送：应用数字化技术，实现动态调度、自动配送或路径优化</w:t>
            </w:r>
          </w:p>
          <w:p w14:paraId="7413BD1F"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□物料实时跟踪：应用制造执行系统（MES）或仓储管理系统（WMS），采用数字化技术，实现原材料、在制品或产成品流转的全程跟踪</w:t>
            </w:r>
          </w:p>
          <w:p w14:paraId="344B4CA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□物流监测与优化：依托运输管理系统（TMS），应用数字化技术，实现运输配送全程跟踪或异常预警，装载能力优化或配送路径优化</w:t>
            </w:r>
          </w:p>
          <w:p w14:paraId="47C90015"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0514F5CE"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多选</w:t>
            </w:r>
          </w:p>
        </w:tc>
      </w:tr>
      <w:tr w:rsidR="00AC36B1" w14:paraId="3B591CE0" w14:textId="77777777">
        <w:trPr>
          <w:jc w:val="center"/>
        </w:trPr>
        <w:tc>
          <w:tcPr>
            <w:tcW w:w="1135" w:type="dxa"/>
            <w:vMerge/>
            <w:vAlign w:val="center"/>
          </w:tcPr>
          <w:p w14:paraId="34F95E33"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Align w:val="center"/>
          </w:tcPr>
          <w:p w14:paraId="5D9F8EC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采购</w:t>
            </w:r>
          </w:p>
          <w:p w14:paraId="4D35A111"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供应</w:t>
            </w:r>
          </w:p>
          <w:p w14:paraId="1D70E02C"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10%）</w:t>
            </w:r>
          </w:p>
        </w:tc>
        <w:tc>
          <w:tcPr>
            <w:tcW w:w="1309" w:type="dxa"/>
            <w:tcBorders>
              <w:top w:val="nil"/>
              <w:left w:val="single" w:sz="4" w:space="0" w:color="auto"/>
              <w:bottom w:val="single" w:sz="4" w:space="0" w:color="auto"/>
              <w:right w:val="single" w:sz="4" w:space="0" w:color="auto"/>
            </w:tcBorders>
            <w:shd w:val="clear" w:color="auto" w:fill="auto"/>
            <w:vAlign w:val="center"/>
          </w:tcPr>
          <w:p w14:paraId="0E54A70B"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14</w:t>
            </w:r>
          </w:p>
        </w:tc>
        <w:tc>
          <w:tcPr>
            <w:tcW w:w="5012" w:type="dxa"/>
            <w:shd w:val="clear" w:color="auto" w:fill="auto"/>
            <w:vAlign w:val="center"/>
          </w:tcPr>
          <w:p w14:paraId="6099072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采购供应环节：企业实现采购管理数字化场景的覆盖范围</w:t>
            </w:r>
          </w:p>
          <w:p w14:paraId="69B4E2F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（50%以上关键业务采购活动实现下列数字化场景即</w:t>
            </w:r>
            <w:proofErr w:type="gramStart"/>
            <w:r>
              <w:rPr>
                <w:rFonts w:ascii="仿宋_GB2312" w:eastAsia="仿宋_GB2312" w:hAnsi="仿宋_GB2312" w:cs="仿宋_GB2312"/>
                <w:sz w:val="24"/>
              </w:rPr>
              <w:t>可勾选该项</w:t>
            </w:r>
            <w:proofErr w:type="gramEnd"/>
            <w:r>
              <w:rPr>
                <w:rFonts w:ascii="仿宋_GB2312" w:eastAsia="仿宋_GB2312" w:hAnsi="仿宋_GB2312" w:cs="仿宋_GB2312"/>
                <w:sz w:val="24"/>
              </w:rPr>
              <w:t>）</w:t>
            </w:r>
          </w:p>
          <w:p w14:paraId="5B7448F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□采购管理信息化：通过信息系统实现采购计划</w:t>
            </w:r>
            <w:r>
              <w:rPr>
                <w:rFonts w:ascii="仿宋_GB2312" w:eastAsia="仿宋_GB2312" w:hAnsi="仿宋_GB2312" w:cs="仿宋_GB2312" w:hint="eastAsia"/>
                <w:sz w:val="24"/>
              </w:rPr>
              <w:t>管理</w:t>
            </w:r>
            <w:r>
              <w:rPr>
                <w:rFonts w:ascii="仿宋_GB2312" w:eastAsia="仿宋_GB2312" w:hAnsi="仿宋_GB2312" w:cs="仿宋_GB2312"/>
                <w:sz w:val="24"/>
              </w:rPr>
              <w:t>、采购过程管理和供应商管理</w:t>
            </w:r>
          </w:p>
          <w:p w14:paraId="171F2144"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□采购策略优化：建设供应链管理系统（SCM），集成数字化技术，实现供应</w:t>
            </w:r>
            <w:proofErr w:type="gramStart"/>
            <w:r>
              <w:rPr>
                <w:rFonts w:ascii="仿宋_GB2312" w:eastAsia="仿宋_GB2312" w:hAnsi="仿宋_GB2312" w:cs="仿宋_GB2312"/>
                <w:sz w:val="24"/>
              </w:rPr>
              <w:t>商综合</w:t>
            </w:r>
            <w:proofErr w:type="gramEnd"/>
            <w:r>
              <w:rPr>
                <w:rFonts w:ascii="仿宋_GB2312" w:eastAsia="仿宋_GB2312" w:hAnsi="仿宋_GB2312" w:cs="仿宋_GB2312"/>
                <w:sz w:val="24"/>
              </w:rPr>
              <w:t>评价、采购需求精准决策或采购方案动态优化</w:t>
            </w:r>
          </w:p>
          <w:p w14:paraId="204BEDC5"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□供应链可视化：搭建供应链管理系统（SCM），融合数字化技术，实现供应链可视化监控。</w:t>
            </w:r>
          </w:p>
          <w:p w14:paraId="1BED5DA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□供应</w:t>
            </w:r>
            <w:proofErr w:type="gramStart"/>
            <w:r>
              <w:rPr>
                <w:rFonts w:ascii="仿宋_GB2312" w:eastAsia="仿宋_GB2312" w:hAnsi="仿宋_GB2312" w:cs="仿宋_GB2312"/>
                <w:sz w:val="24"/>
              </w:rPr>
              <w:t>链风险</w:t>
            </w:r>
            <w:proofErr w:type="gramEnd"/>
            <w:r>
              <w:rPr>
                <w:rFonts w:ascii="仿宋_GB2312" w:eastAsia="仿宋_GB2312" w:hAnsi="仿宋_GB2312" w:cs="仿宋_GB2312"/>
                <w:sz w:val="24"/>
              </w:rPr>
              <w:t>预警与弹性管控：建立供应链管</w:t>
            </w:r>
            <w:r>
              <w:rPr>
                <w:rFonts w:ascii="仿宋_GB2312" w:eastAsia="仿宋_GB2312" w:hAnsi="仿宋_GB2312" w:cs="仿宋_GB2312"/>
                <w:sz w:val="24"/>
              </w:rPr>
              <w:lastRenderedPageBreak/>
              <w:t>理系统（SCM），集成数字化技术，开展供应</w:t>
            </w:r>
            <w:proofErr w:type="gramStart"/>
            <w:r>
              <w:rPr>
                <w:rFonts w:ascii="仿宋_GB2312" w:eastAsia="仿宋_GB2312" w:hAnsi="仿宋_GB2312" w:cs="仿宋_GB2312"/>
                <w:sz w:val="24"/>
              </w:rPr>
              <w:t>链风险</w:t>
            </w:r>
            <w:proofErr w:type="gramEnd"/>
            <w:r>
              <w:rPr>
                <w:rFonts w:ascii="仿宋_GB2312" w:eastAsia="仿宋_GB2312" w:hAnsi="仿宋_GB2312" w:cs="仿宋_GB2312"/>
                <w:sz w:val="24"/>
              </w:rPr>
              <w:t>隐患识别、定位、预警或高效处置</w:t>
            </w:r>
          </w:p>
          <w:p w14:paraId="7C2ECD9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□采购协同：利用数字化技术实现采购供应与相关业务的协同，包括业务配合同步、质量与规范同步、结算对账同步、库存与计划同步等</w:t>
            </w:r>
          </w:p>
          <w:p w14:paraId="2A93339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6C2DFD3E"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lastRenderedPageBreak/>
              <w:t>多选</w:t>
            </w:r>
          </w:p>
        </w:tc>
      </w:tr>
      <w:tr w:rsidR="00AC36B1" w14:paraId="7811C630" w14:textId="77777777">
        <w:trPr>
          <w:jc w:val="center"/>
        </w:trPr>
        <w:tc>
          <w:tcPr>
            <w:tcW w:w="1135" w:type="dxa"/>
            <w:vMerge/>
            <w:vAlign w:val="center"/>
          </w:tcPr>
          <w:p w14:paraId="64B57FD6"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Align w:val="center"/>
          </w:tcPr>
          <w:p w14:paraId="21F61301"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营销</w:t>
            </w:r>
          </w:p>
          <w:p w14:paraId="7843D42B"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管理</w:t>
            </w:r>
          </w:p>
          <w:p w14:paraId="5D2F686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10%）</w:t>
            </w:r>
          </w:p>
        </w:tc>
        <w:tc>
          <w:tcPr>
            <w:tcW w:w="1309" w:type="dxa"/>
            <w:tcBorders>
              <w:top w:val="nil"/>
              <w:left w:val="single" w:sz="4" w:space="0" w:color="auto"/>
              <w:bottom w:val="single" w:sz="4" w:space="0" w:color="auto"/>
              <w:right w:val="single" w:sz="4" w:space="0" w:color="auto"/>
            </w:tcBorders>
            <w:shd w:val="clear" w:color="auto" w:fill="auto"/>
            <w:vAlign w:val="center"/>
          </w:tcPr>
          <w:p w14:paraId="7EC56878"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15</w:t>
            </w:r>
          </w:p>
        </w:tc>
        <w:tc>
          <w:tcPr>
            <w:tcW w:w="5012" w:type="dxa"/>
            <w:shd w:val="clear" w:color="auto" w:fill="auto"/>
            <w:vAlign w:val="center"/>
          </w:tcPr>
          <w:p w14:paraId="7645CC1C" w14:textId="77777777" w:rsidR="00AC36B1" w:rsidRDefault="00000000">
            <w:pPr>
              <w:snapToGrid w:val="0"/>
              <w:spacing w:line="240" w:lineRule="atLeast"/>
              <w:contextualSpacing/>
              <w:jc w:val="left"/>
              <w:rPr>
                <w:rFonts w:ascii="仿宋_GB2312" w:eastAsia="仿宋_GB2312" w:hAnsi="仿宋_GB2312" w:cs="仿宋_GB2312"/>
                <w:sz w:val="24"/>
              </w:rPr>
            </w:pPr>
            <w:r>
              <w:rPr>
                <w:rFonts w:ascii="仿宋_GB2312" w:eastAsia="仿宋_GB2312" w:hAnsi="仿宋_GB2312" w:cs="仿宋_GB2312"/>
                <w:sz w:val="24"/>
              </w:rPr>
              <w:t>营销管理环节，企业实现营销管理数字化场景的覆盖范围</w:t>
            </w:r>
          </w:p>
          <w:p w14:paraId="6EB44C93" w14:textId="77777777" w:rsidR="00AC36B1" w:rsidRDefault="00000000">
            <w:pPr>
              <w:snapToGrid w:val="0"/>
              <w:spacing w:line="240" w:lineRule="atLeast"/>
              <w:contextualSpacing/>
              <w:jc w:val="left"/>
              <w:rPr>
                <w:rFonts w:ascii="仿宋_GB2312" w:eastAsia="仿宋_GB2312" w:hAnsi="仿宋_GB2312" w:cs="仿宋_GB2312"/>
                <w:sz w:val="24"/>
              </w:rPr>
            </w:pPr>
            <w:r>
              <w:rPr>
                <w:rFonts w:ascii="仿宋_GB2312" w:eastAsia="仿宋_GB2312" w:hAnsi="仿宋_GB2312" w:cs="仿宋_GB2312"/>
                <w:sz w:val="24"/>
              </w:rPr>
              <w:t>（50%以上关键业务市场营销实现下列数字化场景即</w:t>
            </w:r>
            <w:proofErr w:type="gramStart"/>
            <w:r>
              <w:rPr>
                <w:rFonts w:ascii="仿宋_GB2312" w:eastAsia="仿宋_GB2312" w:hAnsi="仿宋_GB2312" w:cs="仿宋_GB2312"/>
                <w:sz w:val="24"/>
              </w:rPr>
              <w:t>可勾选该项</w:t>
            </w:r>
            <w:proofErr w:type="gramEnd"/>
            <w:r>
              <w:rPr>
                <w:rFonts w:ascii="仿宋_GB2312" w:eastAsia="仿宋_GB2312" w:hAnsi="仿宋_GB2312" w:cs="仿宋_GB2312"/>
                <w:sz w:val="24"/>
              </w:rPr>
              <w:t>）</w:t>
            </w:r>
          </w:p>
          <w:p w14:paraId="15EA8DBA"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□销售计划动态优化：依托客户关系管理系统（CRM），应用数字化技术，实现挖掘分析客户信息、构建用户画像、构建需求预测模型或制定精准销售计划</w:t>
            </w:r>
          </w:p>
          <w:p w14:paraId="624BE8D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□市场快速分析预测：应用数字化技术，实现对市场未来供求趋势、影响因素或其变化规律的精准分析、判断或预测</w:t>
            </w:r>
          </w:p>
          <w:p w14:paraId="152F885F"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□销售驱动业务优化：应用数字化技术，根据客户需求变化，动态调整设计采购、生产或物流等方案</w:t>
            </w:r>
          </w:p>
          <w:p w14:paraId="5B8F744F"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296DE5B3"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多选</w:t>
            </w:r>
          </w:p>
        </w:tc>
      </w:tr>
      <w:tr w:rsidR="00AC36B1" w14:paraId="63A45229" w14:textId="77777777">
        <w:trPr>
          <w:jc w:val="center"/>
        </w:trPr>
        <w:tc>
          <w:tcPr>
            <w:tcW w:w="1135" w:type="dxa"/>
            <w:vMerge/>
            <w:vAlign w:val="center"/>
          </w:tcPr>
          <w:p w14:paraId="5CED0830"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vAlign w:val="center"/>
          </w:tcPr>
          <w:p w14:paraId="0C5FF0E2"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产品</w:t>
            </w:r>
          </w:p>
          <w:p w14:paraId="57A8C09A"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服务</w:t>
            </w:r>
          </w:p>
          <w:p w14:paraId="7FF1BE1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14%）</w:t>
            </w:r>
          </w:p>
        </w:tc>
        <w:tc>
          <w:tcPr>
            <w:tcW w:w="1309" w:type="dxa"/>
            <w:tcBorders>
              <w:top w:val="nil"/>
              <w:left w:val="single" w:sz="4" w:space="0" w:color="auto"/>
              <w:bottom w:val="single" w:sz="4" w:space="0" w:color="auto"/>
              <w:right w:val="single" w:sz="4" w:space="0" w:color="auto"/>
            </w:tcBorders>
            <w:shd w:val="clear" w:color="auto" w:fill="auto"/>
            <w:vAlign w:val="center"/>
          </w:tcPr>
          <w:p w14:paraId="78176D7F"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16</w:t>
            </w:r>
          </w:p>
        </w:tc>
        <w:tc>
          <w:tcPr>
            <w:tcW w:w="5012" w:type="dxa"/>
            <w:shd w:val="clear" w:color="auto" w:fill="auto"/>
            <w:vAlign w:val="center"/>
          </w:tcPr>
          <w:p w14:paraId="35D090D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产品服务环节，企业实现产品服务数字化场景的覆盖范围</w:t>
            </w:r>
          </w:p>
          <w:p w14:paraId="1D51F4CE" w14:textId="77777777" w:rsidR="00AC36B1" w:rsidRDefault="00AC36B1">
            <w:pPr>
              <w:snapToGrid w:val="0"/>
              <w:spacing w:line="240" w:lineRule="atLeast"/>
              <w:contextualSpacing/>
              <w:rPr>
                <w:rFonts w:ascii="仿宋_GB2312" w:eastAsia="仿宋_GB2312" w:hAnsi="仿宋_GB2312" w:cs="仿宋_GB2312"/>
                <w:sz w:val="24"/>
              </w:rPr>
            </w:pPr>
          </w:p>
          <w:p w14:paraId="6C29551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（1）</w:t>
            </w:r>
            <w:bookmarkStart w:id="1" w:name="_Hlk104714702"/>
            <w:r>
              <w:rPr>
                <w:rFonts w:ascii="仿宋_GB2312" w:eastAsia="仿宋_GB2312" w:hAnsi="仿宋_GB2312" w:cs="仿宋_GB2312"/>
                <w:sz w:val="24"/>
              </w:rPr>
              <w:t>利用信息系统实现售后服务数字化管理</w:t>
            </w:r>
            <w:bookmarkEnd w:id="1"/>
            <w:r>
              <w:rPr>
                <w:rFonts w:ascii="仿宋_GB2312" w:eastAsia="仿宋_GB2312" w:hAnsi="仿宋_GB2312" w:cs="仿宋_GB2312"/>
                <w:sz w:val="24"/>
              </w:rPr>
              <w:t>的情况（50%以上关键产品售后服务实现下列数字化场景即</w:t>
            </w:r>
            <w:proofErr w:type="gramStart"/>
            <w:r>
              <w:rPr>
                <w:rFonts w:ascii="仿宋_GB2312" w:eastAsia="仿宋_GB2312" w:hAnsi="仿宋_GB2312" w:cs="仿宋_GB2312"/>
                <w:sz w:val="24"/>
              </w:rPr>
              <w:t>可勾选该项</w:t>
            </w:r>
            <w:proofErr w:type="gramEnd"/>
            <w:r>
              <w:rPr>
                <w:rFonts w:ascii="仿宋_GB2312" w:eastAsia="仿宋_GB2312" w:hAnsi="仿宋_GB2312" w:cs="仿宋_GB2312"/>
                <w:sz w:val="24"/>
              </w:rPr>
              <w:t>）</w:t>
            </w:r>
          </w:p>
          <w:p w14:paraId="08B2D79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□退换货质量管理 </w:t>
            </w:r>
          </w:p>
          <w:p w14:paraId="500542D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□客户体验调查 </w:t>
            </w:r>
          </w:p>
          <w:p w14:paraId="74E16E5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□客户满意度调查 </w:t>
            </w:r>
          </w:p>
          <w:p w14:paraId="07540490"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p w14:paraId="3D3FB7E4" w14:textId="77777777" w:rsidR="00AC36B1" w:rsidRDefault="00AC36B1">
            <w:pPr>
              <w:snapToGrid w:val="0"/>
              <w:spacing w:line="240" w:lineRule="atLeast"/>
              <w:contextualSpacing/>
              <w:rPr>
                <w:rFonts w:ascii="仿宋_GB2312" w:eastAsia="仿宋_GB2312" w:hAnsi="仿宋_GB2312" w:cs="仿宋_GB2312"/>
                <w:sz w:val="24"/>
              </w:rPr>
            </w:pPr>
          </w:p>
          <w:p w14:paraId="507E8CC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（2）利用数字化技术实现售后服务与相关业务的协同情况（50%以上关键产品售后服务实现下列数字化场景即</w:t>
            </w:r>
            <w:proofErr w:type="gramStart"/>
            <w:r>
              <w:rPr>
                <w:rFonts w:ascii="仿宋_GB2312" w:eastAsia="仿宋_GB2312" w:hAnsi="仿宋_GB2312" w:cs="仿宋_GB2312"/>
                <w:sz w:val="24"/>
              </w:rPr>
              <w:t>可勾选该项</w:t>
            </w:r>
            <w:proofErr w:type="gramEnd"/>
            <w:r>
              <w:rPr>
                <w:rFonts w:ascii="仿宋_GB2312" w:eastAsia="仿宋_GB2312" w:hAnsi="仿宋_GB2312" w:cs="仿宋_GB2312"/>
                <w:sz w:val="24"/>
              </w:rPr>
              <w:t>）</w:t>
            </w:r>
          </w:p>
          <w:p w14:paraId="21EB9E2A" w14:textId="77777777" w:rsidR="00AC36B1" w:rsidRDefault="00000000">
            <w:pPr>
              <w:snapToGrid w:val="0"/>
              <w:spacing w:line="240" w:lineRule="atLeast"/>
              <w:ind w:left="240" w:hangingChars="100" w:hanging="240"/>
              <w:contextualSpacing/>
              <w:rPr>
                <w:rFonts w:ascii="仿宋_GB2312" w:eastAsia="仿宋_GB2312" w:hAnsi="仿宋_GB2312" w:cs="仿宋_GB2312"/>
                <w:sz w:val="24"/>
              </w:rPr>
            </w:pPr>
            <w:r>
              <w:rPr>
                <w:rFonts w:ascii="仿宋_GB2312" w:eastAsia="仿宋_GB2312" w:hAnsi="仿宋_GB2312" w:cs="仿宋_GB2312"/>
                <w:sz w:val="24"/>
              </w:rPr>
              <w:t xml:space="preserve">□售后配件与库存协同 </w:t>
            </w:r>
          </w:p>
          <w:p w14:paraId="671F6C00" w14:textId="77777777" w:rsidR="00AC36B1" w:rsidRDefault="00000000">
            <w:pPr>
              <w:snapToGrid w:val="0"/>
              <w:spacing w:line="240" w:lineRule="atLeast"/>
              <w:ind w:left="240" w:hangingChars="100" w:hanging="240"/>
              <w:contextualSpacing/>
              <w:rPr>
                <w:rFonts w:ascii="仿宋_GB2312" w:eastAsia="仿宋_GB2312" w:hAnsi="仿宋_GB2312" w:cs="仿宋_GB2312"/>
                <w:sz w:val="24"/>
              </w:rPr>
            </w:pPr>
            <w:r>
              <w:rPr>
                <w:rFonts w:ascii="仿宋_GB2312" w:eastAsia="仿宋_GB2312" w:hAnsi="仿宋_GB2312" w:cs="仿宋_GB2312"/>
                <w:sz w:val="24"/>
              </w:rPr>
              <w:t>□失效产品追溯与质量根因分析</w:t>
            </w:r>
          </w:p>
          <w:p w14:paraId="3B7F256D" w14:textId="77777777" w:rsidR="00AC36B1" w:rsidRDefault="00000000">
            <w:pPr>
              <w:snapToGrid w:val="0"/>
              <w:spacing w:line="240" w:lineRule="atLeast"/>
              <w:ind w:left="240" w:hangingChars="100" w:hanging="240"/>
              <w:contextualSpacing/>
              <w:rPr>
                <w:rFonts w:ascii="仿宋_GB2312" w:eastAsia="仿宋_GB2312" w:hAnsi="仿宋_GB2312" w:cs="仿宋_GB2312"/>
                <w:sz w:val="24"/>
              </w:rPr>
            </w:pPr>
            <w:r>
              <w:rPr>
                <w:rFonts w:ascii="仿宋_GB2312" w:eastAsia="仿宋_GB2312" w:hAnsi="仿宋_GB2312" w:cs="仿宋_GB2312"/>
                <w:sz w:val="24"/>
              </w:rPr>
              <w:t xml:space="preserve">□失效原因与设计优化协同 </w:t>
            </w:r>
          </w:p>
          <w:p w14:paraId="17CB8FE1" w14:textId="77777777" w:rsidR="00AC36B1" w:rsidRDefault="00000000">
            <w:pPr>
              <w:snapToGrid w:val="0"/>
              <w:spacing w:line="240" w:lineRule="atLeast"/>
              <w:ind w:left="240" w:hangingChars="100" w:hanging="240"/>
              <w:contextualSpacing/>
              <w:rPr>
                <w:rFonts w:ascii="仿宋_GB2312" w:eastAsia="仿宋_GB2312" w:hAnsi="仿宋_GB2312" w:cs="仿宋_GB2312"/>
                <w:sz w:val="24"/>
              </w:rPr>
            </w:pPr>
            <w:r>
              <w:rPr>
                <w:rFonts w:ascii="仿宋_GB2312" w:eastAsia="仿宋_GB2312" w:hAnsi="仿宋_GB2312" w:cs="仿宋_GB2312"/>
                <w:sz w:val="24"/>
              </w:rPr>
              <w:t>□以上均无</w:t>
            </w:r>
          </w:p>
          <w:p w14:paraId="775B76F0" w14:textId="77777777" w:rsidR="00AC36B1" w:rsidRDefault="00AC36B1">
            <w:pPr>
              <w:snapToGrid w:val="0"/>
              <w:spacing w:line="240" w:lineRule="atLeast"/>
              <w:contextualSpacing/>
              <w:rPr>
                <w:rFonts w:ascii="仿宋_GB2312" w:eastAsia="仿宋_GB2312" w:hAnsi="仿宋_GB2312" w:cs="仿宋_GB2312"/>
                <w:sz w:val="24"/>
              </w:rPr>
            </w:pPr>
          </w:p>
          <w:p w14:paraId="0AEECAFA"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（3）新一代信息技术在新型智能产品中应用</w:t>
            </w:r>
            <w:r>
              <w:rPr>
                <w:rFonts w:ascii="仿宋_GB2312" w:eastAsia="仿宋_GB2312" w:hAnsi="仿宋_GB2312" w:cs="仿宋_GB2312"/>
                <w:sz w:val="24"/>
              </w:rPr>
              <w:lastRenderedPageBreak/>
              <w:t>场景的覆盖范围（某一种或几种关键产品实现下列数字化场景即</w:t>
            </w:r>
            <w:proofErr w:type="gramStart"/>
            <w:r>
              <w:rPr>
                <w:rFonts w:ascii="仿宋_GB2312" w:eastAsia="仿宋_GB2312" w:hAnsi="仿宋_GB2312" w:cs="仿宋_GB2312"/>
                <w:sz w:val="24"/>
              </w:rPr>
              <w:t>可勾选该项</w:t>
            </w:r>
            <w:proofErr w:type="gramEnd"/>
            <w:r>
              <w:rPr>
                <w:rFonts w:ascii="仿宋_GB2312" w:eastAsia="仿宋_GB2312" w:hAnsi="仿宋_GB2312" w:cs="仿宋_GB2312"/>
                <w:sz w:val="24"/>
              </w:rPr>
              <w:t>）</w:t>
            </w:r>
          </w:p>
          <w:p w14:paraId="05EDA0F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□数据增值服务：分析产品的运行工况等数据，应用数字化技术，提供设备估值、融资租赁、资产处置等新业务</w:t>
            </w:r>
          </w:p>
          <w:p w14:paraId="08456D9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□主动客户服务：依托客户关系管理系统（CRM），集成数字化技术，实现精细化管理或主动式客户服务</w:t>
            </w:r>
          </w:p>
          <w:p w14:paraId="6A89FA5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□用户直连制造：通过用户和企业的深度交互，提供满足个性化需求的产品定制设计、柔性化生产或个性化服务</w:t>
            </w:r>
          </w:p>
          <w:p w14:paraId="4A56D10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□大批量定制：通过生产柔性化、敏捷化或产品模块化，根据客户的个性化需求，以大批量生产方式提供定制化的产品和服务</w:t>
            </w:r>
          </w:p>
          <w:p w14:paraId="7F9E9E95"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□产品的远程运维：依托产品远程运</w:t>
            </w:r>
            <w:proofErr w:type="gramStart"/>
            <w:r>
              <w:rPr>
                <w:rFonts w:ascii="仿宋_GB2312" w:eastAsia="仿宋_GB2312" w:hAnsi="仿宋_GB2312" w:cs="仿宋_GB2312"/>
                <w:sz w:val="24"/>
              </w:rPr>
              <w:t>维管理</w:t>
            </w:r>
            <w:proofErr w:type="gramEnd"/>
            <w:r>
              <w:rPr>
                <w:rFonts w:ascii="仿宋_GB2312" w:eastAsia="仿宋_GB2312" w:hAnsi="仿宋_GB2312" w:cs="仿宋_GB2312"/>
                <w:sz w:val="24"/>
              </w:rPr>
              <w:t>平台，实现基于运行数据的产品远程监控、预测性维护或产品设计的持续改进</w:t>
            </w:r>
          </w:p>
          <w:p w14:paraId="0336C98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67DEA672"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lastRenderedPageBreak/>
              <w:t>多选</w:t>
            </w:r>
          </w:p>
        </w:tc>
      </w:tr>
      <w:tr w:rsidR="00AC36B1" w14:paraId="23A8FD6D" w14:textId="77777777">
        <w:trPr>
          <w:jc w:val="center"/>
        </w:trPr>
        <w:tc>
          <w:tcPr>
            <w:tcW w:w="1135" w:type="dxa"/>
            <w:vMerge/>
            <w:vAlign w:val="center"/>
          </w:tcPr>
          <w:p w14:paraId="31F0CB35"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shd w:val="clear" w:color="auto" w:fill="auto"/>
            <w:vAlign w:val="center"/>
          </w:tcPr>
          <w:p w14:paraId="7DB081B3"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业务</w:t>
            </w:r>
          </w:p>
          <w:p w14:paraId="776C9ADF"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协同</w:t>
            </w:r>
          </w:p>
          <w:p w14:paraId="1C7E5E1E"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w:t>
            </w:r>
            <w:r>
              <w:rPr>
                <w:rFonts w:ascii="仿宋_GB2312" w:eastAsia="仿宋_GB2312" w:hAnsi="仿宋_GB2312" w:cs="仿宋_GB2312"/>
                <w:kern w:val="0"/>
                <w:sz w:val="24"/>
              </w:rPr>
              <w:t>10%）</w:t>
            </w:r>
          </w:p>
        </w:tc>
        <w:tc>
          <w:tcPr>
            <w:tcW w:w="1309" w:type="dxa"/>
            <w:tcBorders>
              <w:top w:val="nil"/>
              <w:left w:val="single" w:sz="4" w:space="0" w:color="auto"/>
              <w:bottom w:val="single" w:sz="4" w:space="0" w:color="auto"/>
              <w:right w:val="single" w:sz="4" w:space="0" w:color="auto"/>
            </w:tcBorders>
            <w:shd w:val="clear" w:color="auto" w:fill="auto"/>
            <w:vAlign w:val="center"/>
          </w:tcPr>
          <w:p w14:paraId="36ED572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17</w:t>
            </w:r>
          </w:p>
        </w:tc>
        <w:tc>
          <w:tcPr>
            <w:tcW w:w="5012" w:type="dxa"/>
            <w:shd w:val="clear" w:color="auto" w:fill="auto"/>
            <w:vAlign w:val="center"/>
          </w:tcPr>
          <w:p w14:paraId="4A362E9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业务协同方面，企业使用数字化技术实现企业间业务协同数字化场景的覆盖范围</w:t>
            </w:r>
          </w:p>
          <w:p w14:paraId="1BA73200"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（50%以上关键业务客户、上游供应企业或合作伙伴使用数字化技术实现下列数字化场景即</w:t>
            </w:r>
            <w:proofErr w:type="gramStart"/>
            <w:r>
              <w:rPr>
                <w:rFonts w:ascii="仿宋_GB2312" w:eastAsia="仿宋_GB2312" w:hAnsi="仿宋_GB2312" w:cs="仿宋_GB2312"/>
                <w:sz w:val="24"/>
              </w:rPr>
              <w:t>可勾选该项</w:t>
            </w:r>
            <w:proofErr w:type="gramEnd"/>
            <w:r>
              <w:rPr>
                <w:rFonts w:ascii="仿宋_GB2312" w:eastAsia="仿宋_GB2312" w:hAnsi="仿宋_GB2312" w:cs="仿宋_GB2312"/>
                <w:sz w:val="24"/>
              </w:rPr>
              <w:t>）</w:t>
            </w:r>
          </w:p>
          <w:p w14:paraId="7835F23A"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□实现研发设计协同 </w:t>
            </w:r>
          </w:p>
          <w:p w14:paraId="489A9F2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□实现生产制造协同 </w:t>
            </w:r>
          </w:p>
          <w:p w14:paraId="6ED9177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□实现订货业务协同 </w:t>
            </w:r>
          </w:p>
          <w:p w14:paraId="1965870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□实现物流仓储协同 </w:t>
            </w:r>
          </w:p>
          <w:p w14:paraId="66F9A88D"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□实现财务结算协同 </w:t>
            </w:r>
          </w:p>
          <w:p w14:paraId="12C40BF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□以上均无 </w:t>
            </w:r>
          </w:p>
        </w:tc>
        <w:tc>
          <w:tcPr>
            <w:tcW w:w="459" w:type="dxa"/>
            <w:shd w:val="clear" w:color="auto" w:fill="auto"/>
            <w:vAlign w:val="center"/>
          </w:tcPr>
          <w:p w14:paraId="060C5F1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多选</w:t>
            </w:r>
          </w:p>
        </w:tc>
      </w:tr>
      <w:tr w:rsidR="00AC36B1" w14:paraId="3D502852" w14:textId="77777777">
        <w:trPr>
          <w:jc w:val="center"/>
        </w:trPr>
        <w:tc>
          <w:tcPr>
            <w:tcW w:w="1135" w:type="dxa"/>
            <w:vMerge w:val="restart"/>
            <w:vAlign w:val="center"/>
          </w:tcPr>
          <w:p w14:paraId="250F130B"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hint="eastAsia"/>
                <w:sz w:val="24"/>
              </w:rPr>
              <w:t>三、</w:t>
            </w:r>
          </w:p>
          <w:p w14:paraId="4E5A5BAC"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数字化管理</w:t>
            </w:r>
          </w:p>
          <w:p w14:paraId="7B7BA4AE"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（20%）</w:t>
            </w:r>
          </w:p>
        </w:tc>
        <w:tc>
          <w:tcPr>
            <w:tcW w:w="1135" w:type="dxa"/>
            <w:shd w:val="clear" w:color="auto" w:fill="auto"/>
            <w:vAlign w:val="center"/>
          </w:tcPr>
          <w:p w14:paraId="5169A730"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经营</w:t>
            </w:r>
          </w:p>
          <w:p w14:paraId="5D3FBF91"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战略</w:t>
            </w:r>
          </w:p>
          <w:p w14:paraId="71A5036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（15%）</w:t>
            </w:r>
          </w:p>
        </w:tc>
        <w:tc>
          <w:tcPr>
            <w:tcW w:w="1309" w:type="dxa"/>
            <w:tcBorders>
              <w:top w:val="nil"/>
              <w:left w:val="single" w:sz="4" w:space="0" w:color="auto"/>
              <w:bottom w:val="single" w:sz="4" w:space="0" w:color="auto"/>
              <w:right w:val="single" w:sz="4" w:space="0" w:color="auto"/>
            </w:tcBorders>
            <w:shd w:val="clear" w:color="auto" w:fill="auto"/>
            <w:vAlign w:val="center"/>
          </w:tcPr>
          <w:p w14:paraId="6281600F"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18</w:t>
            </w:r>
          </w:p>
        </w:tc>
        <w:tc>
          <w:tcPr>
            <w:tcW w:w="5012" w:type="dxa"/>
            <w:shd w:val="clear" w:color="auto" w:fill="auto"/>
            <w:vAlign w:val="center"/>
          </w:tcPr>
          <w:p w14:paraId="184F1C35"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企业数字化转型意识与执行水平情况</w:t>
            </w:r>
          </w:p>
          <w:p w14:paraId="2DF9E14A"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□已经对数字化转型有了明确的目标（至少半年为期）</w:t>
            </w:r>
          </w:p>
          <w:p w14:paraId="6644AB0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□已制定了数字化转型规划及具体的实施计划</w:t>
            </w:r>
          </w:p>
          <w:p w14:paraId="7361E888"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□已基于战略规划开展业务模式和管理决策方式的变革实践</w:t>
            </w:r>
          </w:p>
          <w:p w14:paraId="0E22A41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61FCE0FD"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多选</w:t>
            </w:r>
          </w:p>
        </w:tc>
      </w:tr>
      <w:tr w:rsidR="00AC36B1" w14:paraId="0B55FC36" w14:textId="77777777">
        <w:trPr>
          <w:jc w:val="center"/>
        </w:trPr>
        <w:tc>
          <w:tcPr>
            <w:tcW w:w="1135" w:type="dxa"/>
            <w:vMerge/>
            <w:vAlign w:val="center"/>
          </w:tcPr>
          <w:p w14:paraId="4727A688"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shd w:val="clear" w:color="auto" w:fill="auto"/>
            <w:vAlign w:val="center"/>
          </w:tcPr>
          <w:p w14:paraId="572C99F4"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管理</w:t>
            </w:r>
          </w:p>
          <w:p w14:paraId="651B0AB8"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机制</w:t>
            </w:r>
          </w:p>
          <w:p w14:paraId="59770FF5"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（35%）</w:t>
            </w:r>
          </w:p>
        </w:tc>
        <w:tc>
          <w:tcPr>
            <w:tcW w:w="1309" w:type="dxa"/>
            <w:tcBorders>
              <w:top w:val="nil"/>
              <w:left w:val="single" w:sz="4" w:space="0" w:color="auto"/>
              <w:bottom w:val="single" w:sz="4" w:space="0" w:color="auto"/>
              <w:right w:val="single" w:sz="4" w:space="0" w:color="auto"/>
            </w:tcBorders>
            <w:shd w:val="clear" w:color="auto" w:fill="auto"/>
            <w:vAlign w:val="center"/>
          </w:tcPr>
          <w:p w14:paraId="47ABFF0C"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19</w:t>
            </w:r>
          </w:p>
        </w:tc>
        <w:tc>
          <w:tcPr>
            <w:tcW w:w="5012" w:type="dxa"/>
            <w:shd w:val="clear" w:color="auto" w:fill="auto"/>
            <w:vAlign w:val="center"/>
          </w:tcPr>
          <w:p w14:paraId="2C644F6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企业在设置数字化组织与管理制度等方面采取的措施</w:t>
            </w:r>
          </w:p>
          <w:p w14:paraId="1F479078"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□设置专门的数字化人员岗位或部门 </w:t>
            </w:r>
          </w:p>
          <w:p w14:paraId="177E01D8"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□为数字化人才设立专门的绩效薪酬体系 </w:t>
            </w:r>
          </w:p>
          <w:p w14:paraId="5819826D"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lastRenderedPageBreak/>
              <w:t xml:space="preserve">□对数字化收支单独建账核算 </w:t>
            </w:r>
          </w:p>
          <w:p w14:paraId="65AD69F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□建立数字化信息系统管理相关制度规范 </w:t>
            </w:r>
          </w:p>
          <w:p w14:paraId="48C6DE74"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□以上均无 </w:t>
            </w:r>
          </w:p>
        </w:tc>
        <w:tc>
          <w:tcPr>
            <w:tcW w:w="459" w:type="dxa"/>
            <w:shd w:val="clear" w:color="auto" w:fill="auto"/>
            <w:vAlign w:val="center"/>
          </w:tcPr>
          <w:p w14:paraId="1050EB0D"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lastRenderedPageBreak/>
              <w:t>多选</w:t>
            </w:r>
          </w:p>
        </w:tc>
      </w:tr>
      <w:tr w:rsidR="00AC36B1" w14:paraId="33334C16" w14:textId="77777777">
        <w:trPr>
          <w:jc w:val="center"/>
        </w:trPr>
        <w:tc>
          <w:tcPr>
            <w:tcW w:w="1135" w:type="dxa"/>
            <w:vMerge/>
            <w:vAlign w:val="center"/>
          </w:tcPr>
          <w:p w14:paraId="7CB956B7"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shd w:val="clear" w:color="auto" w:fill="auto"/>
            <w:vAlign w:val="center"/>
          </w:tcPr>
          <w:p w14:paraId="6D40A60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人才</w:t>
            </w:r>
          </w:p>
          <w:p w14:paraId="642E9556"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建设（25%）</w:t>
            </w:r>
          </w:p>
        </w:tc>
        <w:tc>
          <w:tcPr>
            <w:tcW w:w="1309" w:type="dxa"/>
            <w:tcBorders>
              <w:top w:val="nil"/>
              <w:left w:val="single" w:sz="4" w:space="0" w:color="auto"/>
              <w:bottom w:val="single" w:sz="4" w:space="0" w:color="auto"/>
              <w:right w:val="single" w:sz="4" w:space="0" w:color="auto"/>
            </w:tcBorders>
            <w:shd w:val="clear" w:color="auto" w:fill="auto"/>
            <w:vAlign w:val="center"/>
          </w:tcPr>
          <w:p w14:paraId="6A23FE00"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20</w:t>
            </w:r>
          </w:p>
        </w:tc>
        <w:tc>
          <w:tcPr>
            <w:tcW w:w="5012" w:type="dxa"/>
            <w:shd w:val="clear" w:color="auto" w:fill="auto"/>
            <w:vAlign w:val="center"/>
          </w:tcPr>
          <w:p w14:paraId="01D4263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企业在数字化方面培训覆盖的人员范围</w:t>
            </w:r>
          </w:p>
          <w:p w14:paraId="42CAA1C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□信息化部门员工 </w:t>
            </w:r>
          </w:p>
          <w:p w14:paraId="72AD706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□业务部门员工 </w:t>
            </w:r>
          </w:p>
          <w:p w14:paraId="02BD8B0B"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□企业主要决策人员 </w:t>
            </w:r>
          </w:p>
          <w:p w14:paraId="3C8BC8E3"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□其他员工</w:t>
            </w:r>
          </w:p>
          <w:p w14:paraId="59A68688"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□以上均无</w:t>
            </w:r>
          </w:p>
        </w:tc>
        <w:tc>
          <w:tcPr>
            <w:tcW w:w="459" w:type="dxa"/>
            <w:shd w:val="clear" w:color="auto" w:fill="auto"/>
            <w:vAlign w:val="center"/>
          </w:tcPr>
          <w:p w14:paraId="6483E69F"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多选</w:t>
            </w:r>
          </w:p>
        </w:tc>
      </w:tr>
      <w:tr w:rsidR="00AC36B1" w14:paraId="179E7C64" w14:textId="77777777">
        <w:trPr>
          <w:jc w:val="center"/>
        </w:trPr>
        <w:tc>
          <w:tcPr>
            <w:tcW w:w="1135" w:type="dxa"/>
            <w:vMerge/>
            <w:vAlign w:val="center"/>
          </w:tcPr>
          <w:p w14:paraId="51FAB82A" w14:textId="77777777" w:rsidR="00AC36B1" w:rsidRDefault="00AC36B1">
            <w:pPr>
              <w:snapToGrid w:val="0"/>
              <w:spacing w:line="240" w:lineRule="atLeast"/>
              <w:contextualSpacing/>
              <w:jc w:val="center"/>
              <w:rPr>
                <w:rFonts w:ascii="仿宋_GB2312" w:eastAsia="仿宋_GB2312" w:hAnsi="仿宋_GB2312" w:cs="仿宋_GB2312"/>
                <w:sz w:val="24"/>
              </w:rPr>
            </w:pPr>
          </w:p>
        </w:tc>
        <w:tc>
          <w:tcPr>
            <w:tcW w:w="1135" w:type="dxa"/>
            <w:shd w:val="clear" w:color="auto" w:fill="auto"/>
            <w:vAlign w:val="center"/>
          </w:tcPr>
          <w:p w14:paraId="1A780AB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资金</w:t>
            </w:r>
          </w:p>
          <w:p w14:paraId="0A40A238"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投入（25%）</w:t>
            </w:r>
          </w:p>
        </w:tc>
        <w:tc>
          <w:tcPr>
            <w:tcW w:w="1309" w:type="dxa"/>
            <w:tcBorders>
              <w:top w:val="nil"/>
              <w:left w:val="single" w:sz="4" w:space="0" w:color="auto"/>
              <w:bottom w:val="single" w:sz="4" w:space="0" w:color="auto"/>
              <w:right w:val="single" w:sz="4" w:space="0" w:color="auto"/>
            </w:tcBorders>
            <w:shd w:val="clear" w:color="auto" w:fill="auto"/>
            <w:vAlign w:val="center"/>
          </w:tcPr>
          <w:p w14:paraId="6C9C029A"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21</w:t>
            </w:r>
          </w:p>
        </w:tc>
        <w:tc>
          <w:tcPr>
            <w:tcW w:w="5012" w:type="dxa"/>
            <w:shd w:val="clear" w:color="auto" w:fill="auto"/>
            <w:vAlign w:val="center"/>
          </w:tcPr>
          <w:p w14:paraId="381CB9F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企业上年度数字化投入占营业收入的比重</w:t>
            </w:r>
          </w:p>
          <w:p w14:paraId="41181C6A"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□小于1% </w:t>
            </w:r>
          </w:p>
          <w:p w14:paraId="5506F1DD"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1%,2%) </w:t>
            </w:r>
          </w:p>
          <w:p w14:paraId="06797F95"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2%,3%) </w:t>
            </w:r>
          </w:p>
          <w:p w14:paraId="7E2037DD" w14:textId="77777777" w:rsidR="00AC36B1" w:rsidRDefault="00000000">
            <w:pPr>
              <w:snapToGrid w:val="0"/>
              <w:spacing w:line="240" w:lineRule="atLeast"/>
              <w:contextualSpacing/>
              <w:rPr>
                <w:rFonts w:ascii="仿宋_GB2312" w:eastAsia="仿宋_GB2312" w:hAnsi="仿宋_GB2312" w:cs="仿宋_GB2312"/>
                <w:sz w:val="24"/>
              </w:rPr>
            </w:pPr>
            <w:proofErr w:type="gramStart"/>
            <w:r>
              <w:rPr>
                <w:rFonts w:ascii="仿宋_GB2312" w:eastAsia="仿宋_GB2312" w:hAnsi="仿宋_GB2312" w:cs="仿宋_GB2312"/>
                <w:sz w:val="24"/>
              </w:rPr>
              <w:t>□[</w:t>
            </w:r>
            <w:proofErr w:type="gramEnd"/>
            <w:r>
              <w:rPr>
                <w:rFonts w:ascii="仿宋_GB2312" w:eastAsia="仿宋_GB2312" w:hAnsi="仿宋_GB2312" w:cs="仿宋_GB2312"/>
                <w:sz w:val="24"/>
              </w:rPr>
              <w:t xml:space="preserve">3%,5%] </w:t>
            </w:r>
          </w:p>
          <w:p w14:paraId="350C171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□大于5%</w:t>
            </w:r>
          </w:p>
        </w:tc>
        <w:tc>
          <w:tcPr>
            <w:tcW w:w="459" w:type="dxa"/>
            <w:shd w:val="clear" w:color="auto" w:fill="auto"/>
            <w:vAlign w:val="center"/>
          </w:tcPr>
          <w:p w14:paraId="2BDEA64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单选</w:t>
            </w:r>
          </w:p>
        </w:tc>
      </w:tr>
      <w:tr w:rsidR="00AC36B1" w14:paraId="5EA22D2F" w14:textId="77777777">
        <w:trPr>
          <w:jc w:val="center"/>
        </w:trPr>
        <w:tc>
          <w:tcPr>
            <w:tcW w:w="1135" w:type="dxa"/>
            <w:vMerge w:val="restart"/>
            <w:tcBorders>
              <w:top w:val="single" w:sz="4" w:space="0" w:color="auto"/>
            </w:tcBorders>
            <w:vAlign w:val="center"/>
          </w:tcPr>
          <w:p w14:paraId="3616C672"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hint="eastAsia"/>
                <w:sz w:val="24"/>
              </w:rPr>
              <w:t>四、</w:t>
            </w:r>
          </w:p>
          <w:p w14:paraId="22C7CD25"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数字化成效</w:t>
            </w:r>
          </w:p>
          <w:p w14:paraId="6615D417"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（10%）</w:t>
            </w:r>
          </w:p>
        </w:tc>
        <w:tc>
          <w:tcPr>
            <w:tcW w:w="1135" w:type="dxa"/>
            <w:tcBorders>
              <w:top w:val="single" w:sz="4" w:space="0" w:color="auto"/>
            </w:tcBorders>
            <w:shd w:val="clear" w:color="auto" w:fill="auto"/>
            <w:vAlign w:val="center"/>
          </w:tcPr>
          <w:p w14:paraId="6E76536A"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产品</w:t>
            </w:r>
          </w:p>
          <w:p w14:paraId="4C6AFA46"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质量</w:t>
            </w:r>
          </w:p>
          <w:p w14:paraId="3F103781"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（30%）</w:t>
            </w:r>
          </w:p>
        </w:tc>
        <w:tc>
          <w:tcPr>
            <w:tcW w:w="1309" w:type="dxa"/>
            <w:tcBorders>
              <w:top w:val="nil"/>
              <w:left w:val="single" w:sz="4" w:space="0" w:color="auto"/>
              <w:bottom w:val="single" w:sz="4" w:space="0" w:color="auto"/>
              <w:right w:val="single" w:sz="4" w:space="0" w:color="auto"/>
            </w:tcBorders>
            <w:shd w:val="clear" w:color="auto" w:fill="auto"/>
            <w:vAlign w:val="center"/>
          </w:tcPr>
          <w:p w14:paraId="6C2E352A"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22</w:t>
            </w:r>
          </w:p>
        </w:tc>
        <w:tc>
          <w:tcPr>
            <w:tcW w:w="5012" w:type="dxa"/>
            <w:tcBorders>
              <w:top w:val="single" w:sz="4" w:space="0" w:color="auto"/>
            </w:tcBorders>
            <w:shd w:val="clear" w:color="auto" w:fill="auto"/>
            <w:vAlign w:val="center"/>
          </w:tcPr>
          <w:p w14:paraId="43BA7C4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企业上年度产品合格率</w:t>
            </w:r>
          </w:p>
          <w:p w14:paraId="643E788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□明显低于行业平均水平 </w:t>
            </w:r>
          </w:p>
          <w:p w14:paraId="4BA37B02"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□略低于行业平均水平 </w:t>
            </w:r>
          </w:p>
          <w:p w14:paraId="59B2E7FF"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□与行业平均水平相当 </w:t>
            </w:r>
          </w:p>
          <w:p w14:paraId="3F7B0D8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□略高于行业平均水平 </w:t>
            </w:r>
          </w:p>
          <w:p w14:paraId="6EC309D2"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□明显高于行业平均水平</w:t>
            </w:r>
          </w:p>
          <w:p w14:paraId="4B5CC150" w14:textId="77777777" w:rsidR="00AC36B1" w:rsidRDefault="00AC36B1">
            <w:pPr>
              <w:snapToGrid w:val="0"/>
              <w:spacing w:line="240" w:lineRule="atLeast"/>
              <w:contextualSpacing/>
              <w:rPr>
                <w:rFonts w:ascii="仿宋_GB2312" w:eastAsia="仿宋_GB2312" w:hAnsi="仿宋_GB2312" w:cs="仿宋_GB2312"/>
                <w:sz w:val="24"/>
              </w:rPr>
            </w:pPr>
          </w:p>
          <w:p w14:paraId="4070F600"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具体数值为[      ]</w:t>
            </w:r>
          </w:p>
        </w:tc>
        <w:tc>
          <w:tcPr>
            <w:tcW w:w="459" w:type="dxa"/>
            <w:tcBorders>
              <w:top w:val="single" w:sz="4" w:space="0" w:color="auto"/>
            </w:tcBorders>
            <w:shd w:val="clear" w:color="auto" w:fill="auto"/>
            <w:vAlign w:val="center"/>
          </w:tcPr>
          <w:p w14:paraId="489A32F8"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单选</w:t>
            </w:r>
          </w:p>
        </w:tc>
      </w:tr>
      <w:tr w:rsidR="00AC36B1" w14:paraId="707D7F49" w14:textId="77777777">
        <w:trPr>
          <w:jc w:val="center"/>
        </w:trPr>
        <w:tc>
          <w:tcPr>
            <w:tcW w:w="1135" w:type="dxa"/>
            <w:vMerge/>
            <w:tcBorders>
              <w:top w:val="single" w:sz="4" w:space="0" w:color="auto"/>
              <w:bottom w:val="single" w:sz="4" w:space="0" w:color="auto"/>
            </w:tcBorders>
            <w:vAlign w:val="center"/>
          </w:tcPr>
          <w:p w14:paraId="0EAC3CCB" w14:textId="77777777" w:rsidR="00AC36B1" w:rsidRDefault="00AC36B1">
            <w:pPr>
              <w:snapToGrid w:val="0"/>
              <w:spacing w:line="240" w:lineRule="atLeast"/>
              <w:contextualSpacing/>
              <w:rPr>
                <w:rFonts w:ascii="仿宋_GB2312" w:eastAsia="仿宋_GB2312" w:hAnsi="仿宋_GB2312" w:cs="仿宋_GB2312"/>
                <w:sz w:val="24"/>
              </w:rPr>
            </w:pPr>
          </w:p>
        </w:tc>
        <w:tc>
          <w:tcPr>
            <w:tcW w:w="1135" w:type="dxa"/>
            <w:tcBorders>
              <w:top w:val="single" w:sz="4" w:space="0" w:color="auto"/>
              <w:bottom w:val="single" w:sz="4" w:space="0" w:color="auto"/>
            </w:tcBorders>
            <w:shd w:val="clear" w:color="auto" w:fill="auto"/>
            <w:vAlign w:val="center"/>
          </w:tcPr>
          <w:p w14:paraId="00A4EDA0"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生产</w:t>
            </w:r>
          </w:p>
          <w:p w14:paraId="523CB73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效率</w:t>
            </w:r>
          </w:p>
          <w:p w14:paraId="7E4E8E20"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（40%）</w:t>
            </w:r>
          </w:p>
        </w:tc>
        <w:tc>
          <w:tcPr>
            <w:tcW w:w="1309" w:type="dxa"/>
            <w:tcBorders>
              <w:top w:val="nil"/>
              <w:left w:val="single" w:sz="4" w:space="0" w:color="auto"/>
              <w:bottom w:val="single" w:sz="4" w:space="0" w:color="auto"/>
              <w:right w:val="single" w:sz="4" w:space="0" w:color="auto"/>
            </w:tcBorders>
            <w:shd w:val="clear" w:color="auto" w:fill="auto"/>
            <w:vAlign w:val="center"/>
          </w:tcPr>
          <w:p w14:paraId="26AF6DAB"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23</w:t>
            </w:r>
          </w:p>
        </w:tc>
        <w:tc>
          <w:tcPr>
            <w:tcW w:w="5012" w:type="dxa"/>
            <w:tcBorders>
              <w:top w:val="single" w:sz="4" w:space="0" w:color="auto"/>
              <w:bottom w:val="single" w:sz="4" w:space="0" w:color="auto"/>
            </w:tcBorders>
            <w:shd w:val="clear" w:color="auto" w:fill="auto"/>
            <w:vAlign w:val="center"/>
          </w:tcPr>
          <w:p w14:paraId="330EFF54"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企业上年度人均营业收入</w:t>
            </w:r>
          </w:p>
          <w:p w14:paraId="61661AE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□明显低于行业平均水平 </w:t>
            </w:r>
          </w:p>
          <w:p w14:paraId="2523AEA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□略低于行业平均水平 </w:t>
            </w:r>
          </w:p>
          <w:p w14:paraId="64F0B54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□与行业平均水平相当 </w:t>
            </w:r>
          </w:p>
          <w:p w14:paraId="016758DC"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□略高于行业平均水平 </w:t>
            </w:r>
          </w:p>
          <w:p w14:paraId="74C8B142"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□明显高于行业平均水平</w:t>
            </w:r>
          </w:p>
          <w:p w14:paraId="524519CD" w14:textId="77777777" w:rsidR="00AC36B1" w:rsidRDefault="00AC36B1">
            <w:pPr>
              <w:snapToGrid w:val="0"/>
              <w:spacing w:line="240" w:lineRule="atLeast"/>
              <w:contextualSpacing/>
              <w:rPr>
                <w:rFonts w:ascii="仿宋_GB2312" w:eastAsia="仿宋_GB2312" w:hAnsi="仿宋_GB2312" w:cs="仿宋_GB2312"/>
                <w:sz w:val="24"/>
              </w:rPr>
            </w:pPr>
          </w:p>
          <w:p w14:paraId="3FFBB75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具体数值为[      ]</w:t>
            </w:r>
          </w:p>
        </w:tc>
        <w:tc>
          <w:tcPr>
            <w:tcW w:w="459" w:type="dxa"/>
            <w:tcBorders>
              <w:top w:val="single" w:sz="4" w:space="0" w:color="auto"/>
              <w:bottom w:val="single" w:sz="4" w:space="0" w:color="auto"/>
            </w:tcBorders>
            <w:shd w:val="clear" w:color="auto" w:fill="auto"/>
            <w:vAlign w:val="center"/>
          </w:tcPr>
          <w:p w14:paraId="36B59E0F"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hint="eastAsia"/>
                <w:sz w:val="24"/>
              </w:rPr>
              <w:t>单</w:t>
            </w:r>
            <w:r>
              <w:rPr>
                <w:rFonts w:ascii="仿宋_GB2312" w:eastAsia="仿宋_GB2312" w:hAnsi="仿宋_GB2312" w:cs="仿宋_GB2312"/>
                <w:sz w:val="24"/>
              </w:rPr>
              <w:t>选</w:t>
            </w:r>
          </w:p>
        </w:tc>
      </w:tr>
      <w:tr w:rsidR="00AC36B1" w14:paraId="6A4E5CD4" w14:textId="77777777">
        <w:trPr>
          <w:jc w:val="center"/>
        </w:trPr>
        <w:tc>
          <w:tcPr>
            <w:tcW w:w="1135" w:type="dxa"/>
            <w:vMerge/>
            <w:tcBorders>
              <w:top w:val="single" w:sz="4" w:space="0" w:color="auto"/>
              <w:bottom w:val="single" w:sz="4" w:space="0" w:color="auto"/>
            </w:tcBorders>
            <w:vAlign w:val="center"/>
          </w:tcPr>
          <w:p w14:paraId="19890B8F" w14:textId="77777777" w:rsidR="00AC36B1" w:rsidRDefault="00AC36B1">
            <w:pPr>
              <w:snapToGrid w:val="0"/>
              <w:spacing w:line="240" w:lineRule="atLeast"/>
              <w:contextualSpacing/>
              <w:rPr>
                <w:rFonts w:ascii="仿宋_GB2312" w:eastAsia="仿宋_GB2312" w:hAnsi="仿宋_GB2312" w:cs="仿宋_GB2312"/>
                <w:sz w:val="24"/>
              </w:rPr>
            </w:pPr>
          </w:p>
        </w:tc>
        <w:tc>
          <w:tcPr>
            <w:tcW w:w="1135" w:type="dxa"/>
            <w:tcBorders>
              <w:top w:val="single" w:sz="4" w:space="0" w:color="auto"/>
              <w:bottom w:val="single" w:sz="4" w:space="0" w:color="auto"/>
            </w:tcBorders>
            <w:vAlign w:val="center"/>
          </w:tcPr>
          <w:p w14:paraId="398D2020"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价值</w:t>
            </w:r>
          </w:p>
          <w:p w14:paraId="761647C9"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效益</w:t>
            </w:r>
          </w:p>
          <w:p w14:paraId="4FCCD3E4"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（30%）</w:t>
            </w:r>
          </w:p>
        </w:tc>
        <w:tc>
          <w:tcPr>
            <w:tcW w:w="1309" w:type="dxa"/>
            <w:tcBorders>
              <w:top w:val="nil"/>
              <w:left w:val="single" w:sz="4" w:space="0" w:color="auto"/>
              <w:bottom w:val="single" w:sz="4" w:space="0" w:color="auto"/>
              <w:right w:val="single" w:sz="4" w:space="0" w:color="auto"/>
            </w:tcBorders>
            <w:shd w:val="clear" w:color="auto" w:fill="auto"/>
            <w:vAlign w:val="center"/>
          </w:tcPr>
          <w:p w14:paraId="7FE9C4FD" w14:textId="77777777" w:rsidR="00AC36B1" w:rsidRDefault="00000000">
            <w:pPr>
              <w:snapToGrid w:val="0"/>
              <w:spacing w:line="240" w:lineRule="atLeast"/>
              <w:contextualSpacing/>
              <w:jc w:val="center"/>
              <w:rPr>
                <w:rFonts w:ascii="仿宋_GB2312" w:eastAsia="仿宋_GB2312" w:hAnsi="仿宋_GB2312" w:cs="仿宋_GB2312"/>
                <w:sz w:val="24"/>
              </w:rPr>
            </w:pPr>
            <w:r>
              <w:rPr>
                <w:rFonts w:ascii="仿宋_GB2312" w:eastAsia="仿宋_GB2312" w:hAnsi="仿宋_GB2312" w:cs="仿宋_GB2312"/>
                <w:sz w:val="24"/>
              </w:rPr>
              <w:t>24</w:t>
            </w:r>
          </w:p>
        </w:tc>
        <w:tc>
          <w:tcPr>
            <w:tcW w:w="5012" w:type="dxa"/>
            <w:tcBorders>
              <w:top w:val="single" w:sz="4" w:space="0" w:color="auto"/>
              <w:bottom w:val="single" w:sz="4" w:space="0" w:color="auto"/>
            </w:tcBorders>
            <w:shd w:val="clear" w:color="auto" w:fill="auto"/>
            <w:vAlign w:val="center"/>
          </w:tcPr>
          <w:p w14:paraId="46372515"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企业上年度每百元营业收入中的成本</w:t>
            </w:r>
          </w:p>
          <w:p w14:paraId="4C96642E"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□明显低于行业平均水平 </w:t>
            </w:r>
          </w:p>
          <w:p w14:paraId="408E127A"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□略低于行业平均水平 </w:t>
            </w:r>
          </w:p>
          <w:p w14:paraId="25679D07"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□与行业平均水平相当 </w:t>
            </w:r>
          </w:p>
          <w:p w14:paraId="12FFCCB1"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 xml:space="preserve">□略高于行业平均水平 </w:t>
            </w:r>
          </w:p>
          <w:p w14:paraId="7A5C7026"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□明显高于行业平均水平</w:t>
            </w:r>
          </w:p>
          <w:p w14:paraId="47475771" w14:textId="77777777" w:rsidR="00AC36B1" w:rsidRDefault="00AC36B1">
            <w:pPr>
              <w:snapToGrid w:val="0"/>
              <w:spacing w:line="240" w:lineRule="atLeast"/>
              <w:contextualSpacing/>
              <w:rPr>
                <w:rFonts w:ascii="仿宋_GB2312" w:eastAsia="仿宋_GB2312" w:hAnsi="仿宋_GB2312" w:cs="仿宋_GB2312"/>
                <w:sz w:val="24"/>
              </w:rPr>
            </w:pPr>
          </w:p>
          <w:p w14:paraId="16F26AC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具体数值为[      ]</w:t>
            </w:r>
          </w:p>
        </w:tc>
        <w:tc>
          <w:tcPr>
            <w:tcW w:w="459" w:type="dxa"/>
            <w:tcBorders>
              <w:top w:val="single" w:sz="4" w:space="0" w:color="auto"/>
              <w:bottom w:val="single" w:sz="4" w:space="0" w:color="auto"/>
            </w:tcBorders>
            <w:shd w:val="clear" w:color="auto" w:fill="auto"/>
            <w:vAlign w:val="center"/>
          </w:tcPr>
          <w:p w14:paraId="6CF76799" w14:textId="77777777" w:rsidR="00AC36B1" w:rsidRDefault="00000000">
            <w:pPr>
              <w:snapToGrid w:val="0"/>
              <w:spacing w:line="240" w:lineRule="atLeast"/>
              <w:contextualSpacing/>
              <w:rPr>
                <w:rFonts w:ascii="仿宋_GB2312" w:eastAsia="仿宋_GB2312" w:hAnsi="仿宋_GB2312" w:cs="仿宋_GB2312"/>
                <w:sz w:val="24"/>
              </w:rPr>
            </w:pPr>
            <w:r>
              <w:rPr>
                <w:rFonts w:ascii="仿宋_GB2312" w:eastAsia="仿宋_GB2312" w:hAnsi="仿宋_GB2312" w:cs="仿宋_GB2312"/>
                <w:sz w:val="24"/>
              </w:rPr>
              <w:t>单选</w:t>
            </w:r>
          </w:p>
        </w:tc>
      </w:tr>
    </w:tbl>
    <w:p w14:paraId="5B4C21C8" w14:textId="77777777" w:rsidR="00AC36B1" w:rsidRDefault="00AC36B1">
      <w:pPr>
        <w:widowControl/>
        <w:spacing w:line="540" w:lineRule="exact"/>
        <w:jc w:val="left"/>
        <w:rPr>
          <w:rFonts w:ascii="Times New Roman" w:eastAsia="仿宋_GB2312" w:hAnsi="Times New Roman" w:cs="Times New Roman"/>
          <w:szCs w:val="32"/>
        </w:rPr>
      </w:pPr>
    </w:p>
    <w:sectPr w:rsidR="00AC36B1" w:rsidSect="00BE0AF3">
      <w:footerReference w:type="even" r:id="rId8"/>
      <w:footerReference w:type="default" r:id="rId9"/>
      <w:footnotePr>
        <w:numRestart w:val="eachPage"/>
      </w:footnotePr>
      <w:pgSz w:w="11900" w:h="16840"/>
      <w:pgMar w:top="1440" w:right="1800" w:bottom="1440" w:left="1800" w:header="851" w:footer="992" w:gutter="0"/>
      <w:pgNumType w:fmt="numberInDash"/>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6B6E6" w14:textId="77777777" w:rsidR="00BE0AF3" w:rsidRDefault="00BE0AF3">
      <w:r>
        <w:separator/>
      </w:r>
    </w:p>
  </w:endnote>
  <w:endnote w:type="continuationSeparator" w:id="0">
    <w:p w14:paraId="6C340E4A" w14:textId="77777777" w:rsidR="00BE0AF3" w:rsidRDefault="00BE0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A83AF0A0-314D-40B8-A65A-DF2932576E74}"/>
  </w:font>
  <w:font w:name="等线">
    <w:altName w:val="DengXian"/>
    <w:panose1 w:val="02010600030101010101"/>
    <w:charset w:val="86"/>
    <w:family w:val="auto"/>
    <w:pitch w:val="variable"/>
    <w:sig w:usb0="A00002BF" w:usb1="38CF7CFA" w:usb2="00000016" w:usb3="00000000" w:csb0="0004000F" w:csb1="00000000"/>
  </w:font>
  <w:font w:name="Times New Roman (正文 CS 字体)">
    <w:altName w:val="宋体"/>
    <w:charset w:val="00"/>
    <w:family w:val="roman"/>
    <w:pitch w:val="default"/>
    <w:sig w:usb0="00000000" w:usb1="00000000"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107872DD-C53D-450B-97F8-2BB561D161BD}"/>
    <w:embedBold r:id="rId3" w:subsetted="1" w:fontKey="{82015E5D-022A-4397-9A3B-95DF44727095}"/>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4" w:fontKey="{89D64F40-3905-4E10-B8C9-81F4D52AF3B1}"/>
  </w:font>
  <w:font w:name="黑体">
    <w:altName w:val="SimHei"/>
    <w:panose1 w:val="02010609060101010101"/>
    <w:charset w:val="86"/>
    <w:family w:val="modern"/>
    <w:pitch w:val="fixed"/>
    <w:sig w:usb0="800002BF" w:usb1="38CF7CFA" w:usb2="00000016" w:usb3="00000000" w:csb0="00040001" w:csb1="00000000"/>
    <w:embedRegular r:id="rId5" w:subsetted="1" w:fontKey="{64120126-37EE-44C7-A5A1-C2EED9B10BD8}"/>
  </w:font>
  <w:font w:name="方正小标宋简体">
    <w:panose1 w:val="03000509000000000000"/>
    <w:charset w:val="86"/>
    <w:family w:val="script"/>
    <w:pitch w:val="fixed"/>
    <w:sig w:usb0="00000001" w:usb1="080E0000" w:usb2="00000010" w:usb3="00000000" w:csb0="00040000" w:csb1="00000000"/>
    <w:embedRegular r:id="rId6" w:subsetted="1" w:fontKey="{7CA6F918-1BC1-4DCD-A1C3-A61B7E3F625E}"/>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a"/>
        <w:rFonts w:ascii="宋体" w:eastAsia="宋体" w:hAnsi="宋体"/>
        <w:sz w:val="28"/>
        <w:szCs w:val="28"/>
      </w:rPr>
      <w:id w:val="191425490"/>
    </w:sdtPr>
    <w:sdtContent>
      <w:p w14:paraId="578A038A" w14:textId="77777777" w:rsidR="00AC36B1" w:rsidRDefault="00000000">
        <w:pPr>
          <w:pStyle w:val="af0"/>
          <w:framePr w:w="8796" w:wrap="around" w:vAnchor="text" w:hAnchor="page" w:x="1597" w:yAlign="center"/>
          <w:rPr>
            <w:rStyle w:val="afa"/>
            <w:rFonts w:ascii="宋体" w:eastAsia="宋体" w:hAnsi="宋体"/>
            <w:sz w:val="28"/>
            <w:szCs w:val="28"/>
          </w:rPr>
        </w:pPr>
        <w:r>
          <w:rPr>
            <w:rStyle w:val="afa"/>
            <w:rFonts w:ascii="宋体" w:eastAsia="宋体" w:hAnsi="宋体"/>
            <w:sz w:val="28"/>
            <w:szCs w:val="28"/>
          </w:rPr>
          <w:fldChar w:fldCharType="begin"/>
        </w:r>
        <w:r>
          <w:rPr>
            <w:rStyle w:val="afa"/>
            <w:rFonts w:ascii="宋体" w:eastAsia="宋体" w:hAnsi="宋体"/>
            <w:sz w:val="28"/>
            <w:szCs w:val="28"/>
          </w:rPr>
          <w:instrText xml:space="preserve"> PAGE </w:instrText>
        </w:r>
        <w:r>
          <w:rPr>
            <w:rStyle w:val="afa"/>
            <w:rFonts w:ascii="宋体" w:eastAsia="宋体" w:hAnsi="宋体"/>
            <w:sz w:val="28"/>
            <w:szCs w:val="28"/>
          </w:rPr>
          <w:fldChar w:fldCharType="separate"/>
        </w:r>
        <w:r>
          <w:rPr>
            <w:rStyle w:val="afa"/>
            <w:rFonts w:ascii="Times New Roman" w:eastAsia="宋体" w:hAnsi="Times New Roman"/>
            <w:sz w:val="28"/>
            <w:szCs w:val="28"/>
          </w:rPr>
          <w:t>2</w:t>
        </w:r>
        <w:r>
          <w:rPr>
            <w:rStyle w:val="afa"/>
            <w:rFonts w:ascii="宋体" w:eastAsia="宋体" w:hAnsi="宋体"/>
            <w:sz w:val="28"/>
            <w:szCs w:val="28"/>
          </w:rPr>
          <w:fldChar w:fldCharType="end"/>
        </w:r>
      </w:p>
    </w:sdtContent>
  </w:sdt>
  <w:p w14:paraId="64B6A916" w14:textId="77777777" w:rsidR="00AC36B1" w:rsidRDefault="00AC36B1">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E0A9E" w14:textId="77777777" w:rsidR="00AC36B1" w:rsidRDefault="00000000">
    <w:pPr>
      <w:pStyle w:val="af0"/>
      <w:ind w:right="360"/>
      <w:rPr>
        <w:rFonts w:ascii="宋体" w:eastAsia="宋体" w:hAnsi="宋体"/>
        <w:sz w:val="28"/>
        <w:szCs w:val="28"/>
      </w:rPr>
    </w:pPr>
    <w:r>
      <w:rPr>
        <w:noProof/>
        <w:sz w:val="28"/>
      </w:rPr>
      <mc:AlternateContent>
        <mc:Choice Requires="wps">
          <w:drawing>
            <wp:anchor distT="0" distB="0" distL="114300" distR="114300" simplePos="0" relativeHeight="251659264" behindDoc="0" locked="0" layoutInCell="1" allowOverlap="1" wp14:anchorId="2B5745E5" wp14:editId="4E21336A">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Style w:val="afa"/>
                            </w:rPr>
                            <w:id w:val="1322322857"/>
                          </w:sdtPr>
                          <w:sdtEndPr>
                            <w:rPr>
                              <w:rStyle w:val="afa"/>
                              <w:rFonts w:ascii="宋体" w:eastAsia="宋体" w:hAnsi="宋体"/>
                              <w:sz w:val="28"/>
                              <w:szCs w:val="28"/>
                            </w:rPr>
                          </w:sdtEndPr>
                          <w:sdtContent>
                            <w:p w14:paraId="3309A070" w14:textId="77777777" w:rsidR="00AC36B1" w:rsidRDefault="00000000">
                              <w:pPr>
                                <w:pStyle w:val="af0"/>
                                <w:jc w:val="right"/>
                                <w:rPr>
                                  <w:rStyle w:val="afa"/>
                                  <w:rFonts w:ascii="宋体" w:eastAsia="宋体" w:hAnsi="宋体"/>
                                  <w:sz w:val="28"/>
                                  <w:szCs w:val="28"/>
                                </w:rPr>
                              </w:pPr>
                              <w:r>
                                <w:rPr>
                                  <w:rStyle w:val="afa"/>
                                  <w:rFonts w:ascii="宋体" w:eastAsia="宋体" w:hAnsi="宋体"/>
                                  <w:sz w:val="28"/>
                                  <w:szCs w:val="28"/>
                                </w:rPr>
                                <w:fldChar w:fldCharType="begin"/>
                              </w:r>
                              <w:r>
                                <w:rPr>
                                  <w:rStyle w:val="afa"/>
                                  <w:rFonts w:ascii="宋体" w:eastAsia="宋体" w:hAnsi="宋体"/>
                                  <w:sz w:val="28"/>
                                  <w:szCs w:val="28"/>
                                </w:rPr>
                                <w:instrText xml:space="preserve"> PAGE </w:instrText>
                              </w:r>
                              <w:r>
                                <w:rPr>
                                  <w:rStyle w:val="afa"/>
                                  <w:rFonts w:ascii="宋体" w:eastAsia="宋体" w:hAnsi="宋体"/>
                                  <w:sz w:val="28"/>
                                  <w:szCs w:val="28"/>
                                </w:rPr>
                                <w:fldChar w:fldCharType="separate"/>
                              </w:r>
                              <w:r>
                                <w:rPr>
                                  <w:rStyle w:val="afa"/>
                                  <w:rFonts w:ascii="宋体" w:eastAsia="宋体" w:hAnsi="宋体"/>
                                  <w:sz w:val="28"/>
                                  <w:szCs w:val="28"/>
                                </w:rPr>
                                <w:t>- 25 -</w:t>
                              </w:r>
                              <w:r>
                                <w:rPr>
                                  <w:rStyle w:val="afa"/>
                                  <w:rFonts w:ascii="宋体" w:eastAsia="宋体" w:hAnsi="宋体"/>
                                  <w:sz w:val="28"/>
                                  <w:szCs w:val="28"/>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5745E5"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rPr>
                        <w:rStyle w:val="afa"/>
                      </w:rPr>
                      <w:id w:val="1322322857"/>
                    </w:sdtPr>
                    <w:sdtEndPr>
                      <w:rPr>
                        <w:rStyle w:val="afa"/>
                        <w:rFonts w:ascii="宋体" w:eastAsia="宋体" w:hAnsi="宋体"/>
                        <w:sz w:val="28"/>
                        <w:szCs w:val="28"/>
                      </w:rPr>
                    </w:sdtEndPr>
                    <w:sdtContent>
                      <w:p w14:paraId="3309A070" w14:textId="77777777" w:rsidR="00AC36B1" w:rsidRDefault="00000000">
                        <w:pPr>
                          <w:pStyle w:val="af0"/>
                          <w:jc w:val="right"/>
                          <w:rPr>
                            <w:rStyle w:val="afa"/>
                            <w:rFonts w:ascii="宋体" w:eastAsia="宋体" w:hAnsi="宋体"/>
                            <w:sz w:val="28"/>
                            <w:szCs w:val="28"/>
                          </w:rPr>
                        </w:pPr>
                        <w:r>
                          <w:rPr>
                            <w:rStyle w:val="afa"/>
                            <w:rFonts w:ascii="宋体" w:eastAsia="宋体" w:hAnsi="宋体"/>
                            <w:sz w:val="28"/>
                            <w:szCs w:val="28"/>
                          </w:rPr>
                          <w:fldChar w:fldCharType="begin"/>
                        </w:r>
                        <w:r>
                          <w:rPr>
                            <w:rStyle w:val="afa"/>
                            <w:rFonts w:ascii="宋体" w:eastAsia="宋体" w:hAnsi="宋体"/>
                            <w:sz w:val="28"/>
                            <w:szCs w:val="28"/>
                          </w:rPr>
                          <w:instrText xml:space="preserve"> PAGE </w:instrText>
                        </w:r>
                        <w:r>
                          <w:rPr>
                            <w:rStyle w:val="afa"/>
                            <w:rFonts w:ascii="宋体" w:eastAsia="宋体" w:hAnsi="宋体"/>
                            <w:sz w:val="28"/>
                            <w:szCs w:val="28"/>
                          </w:rPr>
                          <w:fldChar w:fldCharType="separate"/>
                        </w:r>
                        <w:r>
                          <w:rPr>
                            <w:rStyle w:val="afa"/>
                            <w:rFonts w:ascii="宋体" w:eastAsia="宋体" w:hAnsi="宋体"/>
                            <w:sz w:val="28"/>
                            <w:szCs w:val="28"/>
                          </w:rPr>
                          <w:t>- 25 -</w:t>
                        </w:r>
                        <w:r>
                          <w:rPr>
                            <w:rStyle w:val="afa"/>
                            <w:rFonts w:ascii="宋体" w:eastAsia="宋体" w:hAnsi="宋体"/>
                            <w:sz w:val="28"/>
                            <w:szCs w:val="28"/>
                          </w:rPr>
                          <w:fldChar w:fldCharType="end"/>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C545D" w14:textId="77777777" w:rsidR="00BE0AF3" w:rsidRDefault="00BE0AF3">
      <w:r>
        <w:separator/>
      </w:r>
    </w:p>
  </w:footnote>
  <w:footnote w:type="continuationSeparator" w:id="0">
    <w:p w14:paraId="7EE8B766" w14:textId="77777777" w:rsidR="00BE0AF3" w:rsidRDefault="00BE0AF3">
      <w:r>
        <w:continuationSeparator/>
      </w:r>
    </w:p>
  </w:footnote>
  <w:footnote w:id="1">
    <w:p w14:paraId="6ABE3F73" w14:textId="77777777" w:rsidR="00AC36B1" w:rsidRDefault="00000000">
      <w:pPr>
        <w:pStyle w:val="af4"/>
      </w:pPr>
      <w:r>
        <w:rPr>
          <w:rStyle w:val="afe"/>
        </w:rPr>
        <w:footnoteRef/>
      </w:r>
      <w:r>
        <w:t xml:space="preserve"> </w:t>
      </w:r>
      <w:r>
        <w:rPr>
          <w:rFonts w:hint="eastAsia"/>
        </w:rPr>
        <w:t>具体问卷题目的详细解释见优质中小企业梯度培育平台中小企业数字化水平自测模块。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275D88"/>
    <w:multiLevelType w:val="multilevel"/>
    <w:tmpl w:val="31275D88"/>
    <w:lvl w:ilvl="0">
      <w:start w:val="1"/>
      <w:numFmt w:val="chineseCountingThousand"/>
      <w:pStyle w:val="3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94584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embedTrueTypeFonts/>
  <w:bordersDoNotSurroundHeader/>
  <w:bordersDoNotSurroundFooter/>
  <w:proofState w:grammar="clean"/>
  <w:defaultTabStop w:val="420"/>
  <w:drawingGridHorizontalSpacing w:val="160"/>
  <w:drawingGridVerticalSpacing w:val="435"/>
  <w:displayHorizontalDrawingGridEvery w:val="2"/>
  <w:noPunctuationKerning/>
  <w:characterSpacingControl w:val="compressPunctuation"/>
  <w:hdrShapeDefaults>
    <o:shapedefaults v:ext="edit" spidmax="2050"/>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djNjg0MmFhMTBhODI3MmY4YjQ2ZjVlZGY2ZWRiNGQifQ=="/>
  </w:docVars>
  <w:rsids>
    <w:rsidRoot w:val="00531119"/>
    <w:rsid w:val="97BF49FE"/>
    <w:rsid w:val="9EDF25C5"/>
    <w:rsid w:val="A4ADF22C"/>
    <w:rsid w:val="ABA9CC85"/>
    <w:rsid w:val="ADF594D9"/>
    <w:rsid w:val="B2DA279C"/>
    <w:rsid w:val="B2FF5D79"/>
    <w:rsid w:val="B36B5170"/>
    <w:rsid w:val="B3B74E9B"/>
    <w:rsid w:val="B7DDED27"/>
    <w:rsid w:val="B9BC442B"/>
    <w:rsid w:val="BB57291A"/>
    <w:rsid w:val="BBEF8D25"/>
    <w:rsid w:val="BF7ED411"/>
    <w:rsid w:val="BFEF71E7"/>
    <w:rsid w:val="BFFD6F8D"/>
    <w:rsid w:val="BFFF3357"/>
    <w:rsid w:val="CBBD8F85"/>
    <w:rsid w:val="D5BB13C9"/>
    <w:rsid w:val="D7F34A3D"/>
    <w:rsid w:val="DAE6952C"/>
    <w:rsid w:val="E7D67B3F"/>
    <w:rsid w:val="EDF13783"/>
    <w:rsid w:val="EF77A1EA"/>
    <w:rsid w:val="EF7E60F5"/>
    <w:rsid w:val="EFE762F7"/>
    <w:rsid w:val="EFF913A8"/>
    <w:rsid w:val="F6CF4785"/>
    <w:rsid w:val="F77F0F76"/>
    <w:rsid w:val="F7AF51B9"/>
    <w:rsid w:val="F7F98DE0"/>
    <w:rsid w:val="F7FFEC56"/>
    <w:rsid w:val="FB7FD1DF"/>
    <w:rsid w:val="FBAEBBF5"/>
    <w:rsid w:val="FBBDE28E"/>
    <w:rsid w:val="FBD42990"/>
    <w:rsid w:val="FBF19EF1"/>
    <w:rsid w:val="FD7F6F50"/>
    <w:rsid w:val="FD9C52F2"/>
    <w:rsid w:val="FDDBB8AD"/>
    <w:rsid w:val="FDFE9C49"/>
    <w:rsid w:val="FE3DFA58"/>
    <w:rsid w:val="FF7E3F57"/>
    <w:rsid w:val="FFB66F9C"/>
    <w:rsid w:val="FFED805C"/>
    <w:rsid w:val="FFF321E3"/>
    <w:rsid w:val="FFF77B50"/>
    <w:rsid w:val="FFFB58B4"/>
    <w:rsid w:val="FFFD5ED0"/>
    <w:rsid w:val="00002DE3"/>
    <w:rsid w:val="0000350F"/>
    <w:rsid w:val="00005387"/>
    <w:rsid w:val="00006733"/>
    <w:rsid w:val="000101E7"/>
    <w:rsid w:val="00011113"/>
    <w:rsid w:val="000117BD"/>
    <w:rsid w:val="00013564"/>
    <w:rsid w:val="000148A9"/>
    <w:rsid w:val="00014F74"/>
    <w:rsid w:val="000168BE"/>
    <w:rsid w:val="000176DA"/>
    <w:rsid w:val="000210EA"/>
    <w:rsid w:val="00030AE4"/>
    <w:rsid w:val="00030B62"/>
    <w:rsid w:val="00031CCA"/>
    <w:rsid w:val="00032B89"/>
    <w:rsid w:val="0003337E"/>
    <w:rsid w:val="000359F1"/>
    <w:rsid w:val="0004598F"/>
    <w:rsid w:val="00047A9A"/>
    <w:rsid w:val="00054157"/>
    <w:rsid w:val="00056F13"/>
    <w:rsid w:val="000571B9"/>
    <w:rsid w:val="0006077F"/>
    <w:rsid w:val="0006124C"/>
    <w:rsid w:val="000676EB"/>
    <w:rsid w:val="00067E95"/>
    <w:rsid w:val="00070003"/>
    <w:rsid w:val="00070D20"/>
    <w:rsid w:val="00071A1A"/>
    <w:rsid w:val="00074B6F"/>
    <w:rsid w:val="0007525F"/>
    <w:rsid w:val="00075863"/>
    <w:rsid w:val="00077B60"/>
    <w:rsid w:val="00081A86"/>
    <w:rsid w:val="00081C47"/>
    <w:rsid w:val="0008320D"/>
    <w:rsid w:val="0008441C"/>
    <w:rsid w:val="00084E8D"/>
    <w:rsid w:val="00085052"/>
    <w:rsid w:val="000860E7"/>
    <w:rsid w:val="00087E42"/>
    <w:rsid w:val="00092591"/>
    <w:rsid w:val="00093B9D"/>
    <w:rsid w:val="000946DB"/>
    <w:rsid w:val="00095018"/>
    <w:rsid w:val="00095187"/>
    <w:rsid w:val="00095F76"/>
    <w:rsid w:val="00096419"/>
    <w:rsid w:val="000A06CD"/>
    <w:rsid w:val="000A2040"/>
    <w:rsid w:val="000A32C0"/>
    <w:rsid w:val="000A48D4"/>
    <w:rsid w:val="000A555A"/>
    <w:rsid w:val="000A5F34"/>
    <w:rsid w:val="000A62C0"/>
    <w:rsid w:val="000A6870"/>
    <w:rsid w:val="000B2031"/>
    <w:rsid w:val="000B20D6"/>
    <w:rsid w:val="000B39D7"/>
    <w:rsid w:val="000B6A9D"/>
    <w:rsid w:val="000C0E83"/>
    <w:rsid w:val="000C295F"/>
    <w:rsid w:val="000C34C3"/>
    <w:rsid w:val="000C45A5"/>
    <w:rsid w:val="000C5C16"/>
    <w:rsid w:val="000C6218"/>
    <w:rsid w:val="000C6CCF"/>
    <w:rsid w:val="000C6DB9"/>
    <w:rsid w:val="000D3C1B"/>
    <w:rsid w:val="000D514D"/>
    <w:rsid w:val="000D7ACE"/>
    <w:rsid w:val="000E0D9E"/>
    <w:rsid w:val="000E1294"/>
    <w:rsid w:val="000E37EE"/>
    <w:rsid w:val="000E5E65"/>
    <w:rsid w:val="000E667F"/>
    <w:rsid w:val="000F1BF1"/>
    <w:rsid w:val="000F24E9"/>
    <w:rsid w:val="000F2A32"/>
    <w:rsid w:val="000F33E0"/>
    <w:rsid w:val="000F4035"/>
    <w:rsid w:val="000F69DC"/>
    <w:rsid w:val="001011E6"/>
    <w:rsid w:val="001012DD"/>
    <w:rsid w:val="00101B88"/>
    <w:rsid w:val="0010343D"/>
    <w:rsid w:val="00103772"/>
    <w:rsid w:val="00104EDF"/>
    <w:rsid w:val="00105127"/>
    <w:rsid w:val="00107170"/>
    <w:rsid w:val="001100B1"/>
    <w:rsid w:val="00116279"/>
    <w:rsid w:val="001167E3"/>
    <w:rsid w:val="00117157"/>
    <w:rsid w:val="00117181"/>
    <w:rsid w:val="001305B2"/>
    <w:rsid w:val="00130B8B"/>
    <w:rsid w:val="00132D09"/>
    <w:rsid w:val="0013369B"/>
    <w:rsid w:val="0013384F"/>
    <w:rsid w:val="0013722E"/>
    <w:rsid w:val="001405C0"/>
    <w:rsid w:val="00141819"/>
    <w:rsid w:val="00141CE4"/>
    <w:rsid w:val="00142FCB"/>
    <w:rsid w:val="00143081"/>
    <w:rsid w:val="00144E65"/>
    <w:rsid w:val="001472C5"/>
    <w:rsid w:val="00147301"/>
    <w:rsid w:val="00147F23"/>
    <w:rsid w:val="001564C3"/>
    <w:rsid w:val="001566B5"/>
    <w:rsid w:val="00156BA7"/>
    <w:rsid w:val="00156C10"/>
    <w:rsid w:val="001579E6"/>
    <w:rsid w:val="001612E6"/>
    <w:rsid w:val="00161A1C"/>
    <w:rsid w:val="0016223F"/>
    <w:rsid w:val="001626BB"/>
    <w:rsid w:val="00162A60"/>
    <w:rsid w:val="001632FF"/>
    <w:rsid w:val="0017019C"/>
    <w:rsid w:val="00173FC5"/>
    <w:rsid w:val="001749FC"/>
    <w:rsid w:val="00174DDA"/>
    <w:rsid w:val="00175224"/>
    <w:rsid w:val="001752A0"/>
    <w:rsid w:val="00176601"/>
    <w:rsid w:val="00176F40"/>
    <w:rsid w:val="001773A9"/>
    <w:rsid w:val="00177F6C"/>
    <w:rsid w:val="001805EE"/>
    <w:rsid w:val="001837A9"/>
    <w:rsid w:val="001839EA"/>
    <w:rsid w:val="0018438E"/>
    <w:rsid w:val="0018478B"/>
    <w:rsid w:val="00191156"/>
    <w:rsid w:val="00192ABB"/>
    <w:rsid w:val="00193E21"/>
    <w:rsid w:val="001942D2"/>
    <w:rsid w:val="00194DE0"/>
    <w:rsid w:val="001955A6"/>
    <w:rsid w:val="001A07CA"/>
    <w:rsid w:val="001A388C"/>
    <w:rsid w:val="001A42B2"/>
    <w:rsid w:val="001A4E5A"/>
    <w:rsid w:val="001A56C3"/>
    <w:rsid w:val="001A5FBB"/>
    <w:rsid w:val="001B12CB"/>
    <w:rsid w:val="001B29CD"/>
    <w:rsid w:val="001B4F37"/>
    <w:rsid w:val="001B52DF"/>
    <w:rsid w:val="001B5BA1"/>
    <w:rsid w:val="001B7D99"/>
    <w:rsid w:val="001C083E"/>
    <w:rsid w:val="001C0BA4"/>
    <w:rsid w:val="001C258C"/>
    <w:rsid w:val="001C506A"/>
    <w:rsid w:val="001C5C0E"/>
    <w:rsid w:val="001C7EDA"/>
    <w:rsid w:val="001D167C"/>
    <w:rsid w:val="001D3DA1"/>
    <w:rsid w:val="001D3E93"/>
    <w:rsid w:val="001D48C1"/>
    <w:rsid w:val="001D58D7"/>
    <w:rsid w:val="001D5AED"/>
    <w:rsid w:val="001D6223"/>
    <w:rsid w:val="001D6B21"/>
    <w:rsid w:val="001D7175"/>
    <w:rsid w:val="001E1102"/>
    <w:rsid w:val="001E1B2D"/>
    <w:rsid w:val="001E1FBF"/>
    <w:rsid w:val="001E2123"/>
    <w:rsid w:val="001E2635"/>
    <w:rsid w:val="001E40AA"/>
    <w:rsid w:val="001E4BD5"/>
    <w:rsid w:val="001E63AB"/>
    <w:rsid w:val="001E7532"/>
    <w:rsid w:val="001F067C"/>
    <w:rsid w:val="001F716D"/>
    <w:rsid w:val="00202DFA"/>
    <w:rsid w:val="00204B53"/>
    <w:rsid w:val="00204C43"/>
    <w:rsid w:val="00207E5A"/>
    <w:rsid w:val="002104A7"/>
    <w:rsid w:val="00210B6E"/>
    <w:rsid w:val="0021459D"/>
    <w:rsid w:val="00220037"/>
    <w:rsid w:val="00221102"/>
    <w:rsid w:val="00221E07"/>
    <w:rsid w:val="00222578"/>
    <w:rsid w:val="002228B0"/>
    <w:rsid w:val="00223E67"/>
    <w:rsid w:val="00224608"/>
    <w:rsid w:val="002246D4"/>
    <w:rsid w:val="00224E25"/>
    <w:rsid w:val="002259EB"/>
    <w:rsid w:val="00227F72"/>
    <w:rsid w:val="00227F78"/>
    <w:rsid w:val="00232E70"/>
    <w:rsid w:val="002330EB"/>
    <w:rsid w:val="00234E29"/>
    <w:rsid w:val="00235B1C"/>
    <w:rsid w:val="002368B2"/>
    <w:rsid w:val="0023742F"/>
    <w:rsid w:val="00242AB2"/>
    <w:rsid w:val="00247D2C"/>
    <w:rsid w:val="0025021F"/>
    <w:rsid w:val="0025542D"/>
    <w:rsid w:val="00255BE4"/>
    <w:rsid w:val="0025798C"/>
    <w:rsid w:val="00260748"/>
    <w:rsid w:val="0026165D"/>
    <w:rsid w:val="00262267"/>
    <w:rsid w:val="00262374"/>
    <w:rsid w:val="002627BC"/>
    <w:rsid w:val="00263661"/>
    <w:rsid w:val="002701BB"/>
    <w:rsid w:val="00270B17"/>
    <w:rsid w:val="002738A7"/>
    <w:rsid w:val="00274CE2"/>
    <w:rsid w:val="002754FF"/>
    <w:rsid w:val="0027717B"/>
    <w:rsid w:val="00277EAC"/>
    <w:rsid w:val="00282DFA"/>
    <w:rsid w:val="00283D45"/>
    <w:rsid w:val="00284F3F"/>
    <w:rsid w:val="0028552F"/>
    <w:rsid w:val="002863D1"/>
    <w:rsid w:val="00287C39"/>
    <w:rsid w:val="00290E75"/>
    <w:rsid w:val="0029180C"/>
    <w:rsid w:val="00293CB6"/>
    <w:rsid w:val="00293F50"/>
    <w:rsid w:val="002A0373"/>
    <w:rsid w:val="002A06FA"/>
    <w:rsid w:val="002A5822"/>
    <w:rsid w:val="002A6B4F"/>
    <w:rsid w:val="002A6DBA"/>
    <w:rsid w:val="002A717F"/>
    <w:rsid w:val="002B0101"/>
    <w:rsid w:val="002B0EEA"/>
    <w:rsid w:val="002B2559"/>
    <w:rsid w:val="002B3603"/>
    <w:rsid w:val="002B5CD0"/>
    <w:rsid w:val="002B6331"/>
    <w:rsid w:val="002C5241"/>
    <w:rsid w:val="002D2B63"/>
    <w:rsid w:val="002D462A"/>
    <w:rsid w:val="002D4C99"/>
    <w:rsid w:val="002D5006"/>
    <w:rsid w:val="002E050C"/>
    <w:rsid w:val="002E0D5F"/>
    <w:rsid w:val="002E2E65"/>
    <w:rsid w:val="002E4DB5"/>
    <w:rsid w:val="002E57A5"/>
    <w:rsid w:val="002E5DE4"/>
    <w:rsid w:val="002E6144"/>
    <w:rsid w:val="002E7CEB"/>
    <w:rsid w:val="002F0981"/>
    <w:rsid w:val="002F2FC6"/>
    <w:rsid w:val="002F4481"/>
    <w:rsid w:val="002F4AE1"/>
    <w:rsid w:val="002F5FA4"/>
    <w:rsid w:val="002F74E9"/>
    <w:rsid w:val="00300583"/>
    <w:rsid w:val="003015A3"/>
    <w:rsid w:val="00301C13"/>
    <w:rsid w:val="0030283F"/>
    <w:rsid w:val="00302F9E"/>
    <w:rsid w:val="00303597"/>
    <w:rsid w:val="00303F95"/>
    <w:rsid w:val="00304290"/>
    <w:rsid w:val="00304779"/>
    <w:rsid w:val="003055F6"/>
    <w:rsid w:val="0030684E"/>
    <w:rsid w:val="00307612"/>
    <w:rsid w:val="003077F5"/>
    <w:rsid w:val="00307C30"/>
    <w:rsid w:val="003137BA"/>
    <w:rsid w:val="00313B86"/>
    <w:rsid w:val="00313DAC"/>
    <w:rsid w:val="0031538F"/>
    <w:rsid w:val="00316C5A"/>
    <w:rsid w:val="00320AF4"/>
    <w:rsid w:val="003211EE"/>
    <w:rsid w:val="003219CB"/>
    <w:rsid w:val="003229DC"/>
    <w:rsid w:val="00325744"/>
    <w:rsid w:val="003317D3"/>
    <w:rsid w:val="003322F6"/>
    <w:rsid w:val="003372F3"/>
    <w:rsid w:val="0034141B"/>
    <w:rsid w:val="003415D6"/>
    <w:rsid w:val="00343226"/>
    <w:rsid w:val="00343C46"/>
    <w:rsid w:val="0034496E"/>
    <w:rsid w:val="00344F32"/>
    <w:rsid w:val="00346182"/>
    <w:rsid w:val="0034725D"/>
    <w:rsid w:val="003521E0"/>
    <w:rsid w:val="00353287"/>
    <w:rsid w:val="003567AB"/>
    <w:rsid w:val="003601CB"/>
    <w:rsid w:val="0036274C"/>
    <w:rsid w:val="003646F1"/>
    <w:rsid w:val="00365852"/>
    <w:rsid w:val="00366529"/>
    <w:rsid w:val="003667A6"/>
    <w:rsid w:val="0036704B"/>
    <w:rsid w:val="00367B18"/>
    <w:rsid w:val="00367C3B"/>
    <w:rsid w:val="0037022E"/>
    <w:rsid w:val="003712E4"/>
    <w:rsid w:val="00373A69"/>
    <w:rsid w:val="00375567"/>
    <w:rsid w:val="00376895"/>
    <w:rsid w:val="00377115"/>
    <w:rsid w:val="003773F5"/>
    <w:rsid w:val="0038141C"/>
    <w:rsid w:val="00381E6F"/>
    <w:rsid w:val="003831ED"/>
    <w:rsid w:val="00385E5C"/>
    <w:rsid w:val="0038676B"/>
    <w:rsid w:val="00387CC6"/>
    <w:rsid w:val="003937AF"/>
    <w:rsid w:val="00394710"/>
    <w:rsid w:val="00395FE7"/>
    <w:rsid w:val="003A22D8"/>
    <w:rsid w:val="003A2FC1"/>
    <w:rsid w:val="003A365B"/>
    <w:rsid w:val="003A3873"/>
    <w:rsid w:val="003A46BE"/>
    <w:rsid w:val="003A49BE"/>
    <w:rsid w:val="003A5BC0"/>
    <w:rsid w:val="003A5C93"/>
    <w:rsid w:val="003A65C5"/>
    <w:rsid w:val="003A72B0"/>
    <w:rsid w:val="003B1B9F"/>
    <w:rsid w:val="003B205F"/>
    <w:rsid w:val="003B30A1"/>
    <w:rsid w:val="003B4332"/>
    <w:rsid w:val="003B6026"/>
    <w:rsid w:val="003B6B90"/>
    <w:rsid w:val="003B77EF"/>
    <w:rsid w:val="003C0FD9"/>
    <w:rsid w:val="003C4EB9"/>
    <w:rsid w:val="003D0896"/>
    <w:rsid w:val="003D419E"/>
    <w:rsid w:val="003D47E8"/>
    <w:rsid w:val="003D7580"/>
    <w:rsid w:val="003E1FCD"/>
    <w:rsid w:val="003E24DA"/>
    <w:rsid w:val="003E27B4"/>
    <w:rsid w:val="003F29E4"/>
    <w:rsid w:val="003F3F25"/>
    <w:rsid w:val="003F4653"/>
    <w:rsid w:val="003F56CA"/>
    <w:rsid w:val="003F5D81"/>
    <w:rsid w:val="004030AF"/>
    <w:rsid w:val="004052D4"/>
    <w:rsid w:val="004073F2"/>
    <w:rsid w:val="00407516"/>
    <w:rsid w:val="00407AAA"/>
    <w:rsid w:val="00407C4C"/>
    <w:rsid w:val="00410586"/>
    <w:rsid w:val="0041090D"/>
    <w:rsid w:val="004121F3"/>
    <w:rsid w:val="00412622"/>
    <w:rsid w:val="004139B7"/>
    <w:rsid w:val="004156BF"/>
    <w:rsid w:val="00415D9E"/>
    <w:rsid w:val="00416D39"/>
    <w:rsid w:val="00417E11"/>
    <w:rsid w:val="004215CE"/>
    <w:rsid w:val="00423E5F"/>
    <w:rsid w:val="004241DC"/>
    <w:rsid w:val="00425F06"/>
    <w:rsid w:val="00427886"/>
    <w:rsid w:val="004300B1"/>
    <w:rsid w:val="00431E7F"/>
    <w:rsid w:val="004349C6"/>
    <w:rsid w:val="00435928"/>
    <w:rsid w:val="00436880"/>
    <w:rsid w:val="0044275F"/>
    <w:rsid w:val="00442C77"/>
    <w:rsid w:val="00443C30"/>
    <w:rsid w:val="00443CCC"/>
    <w:rsid w:val="00443F64"/>
    <w:rsid w:val="0044430E"/>
    <w:rsid w:val="00445085"/>
    <w:rsid w:val="00445F5A"/>
    <w:rsid w:val="00447650"/>
    <w:rsid w:val="00451D1E"/>
    <w:rsid w:val="00453AA8"/>
    <w:rsid w:val="004564A9"/>
    <w:rsid w:val="004608BA"/>
    <w:rsid w:val="00461B6E"/>
    <w:rsid w:val="0046258C"/>
    <w:rsid w:val="00462869"/>
    <w:rsid w:val="00463245"/>
    <w:rsid w:val="00463F10"/>
    <w:rsid w:val="00467347"/>
    <w:rsid w:val="0046778D"/>
    <w:rsid w:val="00467F6C"/>
    <w:rsid w:val="00470D0C"/>
    <w:rsid w:val="00471D2B"/>
    <w:rsid w:val="00472B0E"/>
    <w:rsid w:val="00472E84"/>
    <w:rsid w:val="00473186"/>
    <w:rsid w:val="00477141"/>
    <w:rsid w:val="00477CDE"/>
    <w:rsid w:val="00481230"/>
    <w:rsid w:val="0048137A"/>
    <w:rsid w:val="00482DAA"/>
    <w:rsid w:val="00487F79"/>
    <w:rsid w:val="00490930"/>
    <w:rsid w:val="004910A4"/>
    <w:rsid w:val="0049139A"/>
    <w:rsid w:val="00493E40"/>
    <w:rsid w:val="00495019"/>
    <w:rsid w:val="004958F8"/>
    <w:rsid w:val="00495B77"/>
    <w:rsid w:val="00496E5F"/>
    <w:rsid w:val="004A1390"/>
    <w:rsid w:val="004A2724"/>
    <w:rsid w:val="004A3168"/>
    <w:rsid w:val="004A34E5"/>
    <w:rsid w:val="004A460F"/>
    <w:rsid w:val="004B3534"/>
    <w:rsid w:val="004C105F"/>
    <w:rsid w:val="004C2282"/>
    <w:rsid w:val="004C4BEA"/>
    <w:rsid w:val="004C501B"/>
    <w:rsid w:val="004D0184"/>
    <w:rsid w:val="004D09DE"/>
    <w:rsid w:val="004D1FA3"/>
    <w:rsid w:val="004D4662"/>
    <w:rsid w:val="004D7907"/>
    <w:rsid w:val="004E0211"/>
    <w:rsid w:val="004E089D"/>
    <w:rsid w:val="004E42CC"/>
    <w:rsid w:val="004E5441"/>
    <w:rsid w:val="004E7165"/>
    <w:rsid w:val="004F1581"/>
    <w:rsid w:val="004F3FFF"/>
    <w:rsid w:val="004F5B29"/>
    <w:rsid w:val="004F5BE8"/>
    <w:rsid w:val="004F6F26"/>
    <w:rsid w:val="00502B6A"/>
    <w:rsid w:val="005033B9"/>
    <w:rsid w:val="00504D5F"/>
    <w:rsid w:val="005050A3"/>
    <w:rsid w:val="0051054E"/>
    <w:rsid w:val="00511CCB"/>
    <w:rsid w:val="00511F85"/>
    <w:rsid w:val="0051372B"/>
    <w:rsid w:val="00517AD9"/>
    <w:rsid w:val="00522D36"/>
    <w:rsid w:val="00522E52"/>
    <w:rsid w:val="0052444B"/>
    <w:rsid w:val="005263D4"/>
    <w:rsid w:val="0052674F"/>
    <w:rsid w:val="00531119"/>
    <w:rsid w:val="00532203"/>
    <w:rsid w:val="005323F6"/>
    <w:rsid w:val="00532DF9"/>
    <w:rsid w:val="0053782F"/>
    <w:rsid w:val="00540179"/>
    <w:rsid w:val="00540545"/>
    <w:rsid w:val="00547971"/>
    <w:rsid w:val="00552D31"/>
    <w:rsid w:val="005531BB"/>
    <w:rsid w:val="00553619"/>
    <w:rsid w:val="0055549A"/>
    <w:rsid w:val="00556E4A"/>
    <w:rsid w:val="005614FA"/>
    <w:rsid w:val="00561E35"/>
    <w:rsid w:val="00564B63"/>
    <w:rsid w:val="00572FC4"/>
    <w:rsid w:val="005731D2"/>
    <w:rsid w:val="0057755C"/>
    <w:rsid w:val="005809B0"/>
    <w:rsid w:val="00581F03"/>
    <w:rsid w:val="00582BD8"/>
    <w:rsid w:val="00583495"/>
    <w:rsid w:val="0058709A"/>
    <w:rsid w:val="00587696"/>
    <w:rsid w:val="00593252"/>
    <w:rsid w:val="0059699E"/>
    <w:rsid w:val="005A19AC"/>
    <w:rsid w:val="005A1D82"/>
    <w:rsid w:val="005A2BE8"/>
    <w:rsid w:val="005B030D"/>
    <w:rsid w:val="005B0B94"/>
    <w:rsid w:val="005B328C"/>
    <w:rsid w:val="005B41CD"/>
    <w:rsid w:val="005B73DE"/>
    <w:rsid w:val="005C34BD"/>
    <w:rsid w:val="005C3A10"/>
    <w:rsid w:val="005C4905"/>
    <w:rsid w:val="005C4C8A"/>
    <w:rsid w:val="005D3438"/>
    <w:rsid w:val="005D378D"/>
    <w:rsid w:val="005D3880"/>
    <w:rsid w:val="005D485C"/>
    <w:rsid w:val="005D5358"/>
    <w:rsid w:val="005D7A9B"/>
    <w:rsid w:val="005E0279"/>
    <w:rsid w:val="005E18B4"/>
    <w:rsid w:val="005E239A"/>
    <w:rsid w:val="005E2DDC"/>
    <w:rsid w:val="005E2E98"/>
    <w:rsid w:val="005E37FA"/>
    <w:rsid w:val="005E468D"/>
    <w:rsid w:val="005E5256"/>
    <w:rsid w:val="005E5A94"/>
    <w:rsid w:val="005E6446"/>
    <w:rsid w:val="005F2B55"/>
    <w:rsid w:val="005F38FB"/>
    <w:rsid w:val="005F3D7A"/>
    <w:rsid w:val="005F4A17"/>
    <w:rsid w:val="00602C60"/>
    <w:rsid w:val="00602FF5"/>
    <w:rsid w:val="006055C8"/>
    <w:rsid w:val="00610223"/>
    <w:rsid w:val="00610A0D"/>
    <w:rsid w:val="006128CA"/>
    <w:rsid w:val="00612D6F"/>
    <w:rsid w:val="00613FC9"/>
    <w:rsid w:val="00616098"/>
    <w:rsid w:val="00616132"/>
    <w:rsid w:val="00617339"/>
    <w:rsid w:val="00624F00"/>
    <w:rsid w:val="006257A6"/>
    <w:rsid w:val="00625941"/>
    <w:rsid w:val="006259DE"/>
    <w:rsid w:val="0063304B"/>
    <w:rsid w:val="0063466B"/>
    <w:rsid w:val="0063513F"/>
    <w:rsid w:val="00636E8C"/>
    <w:rsid w:val="00640385"/>
    <w:rsid w:val="00641CA4"/>
    <w:rsid w:val="00643B1C"/>
    <w:rsid w:val="00644082"/>
    <w:rsid w:val="006440A3"/>
    <w:rsid w:val="0064411D"/>
    <w:rsid w:val="00644CA8"/>
    <w:rsid w:val="006478C0"/>
    <w:rsid w:val="00651751"/>
    <w:rsid w:val="006527D9"/>
    <w:rsid w:val="006560CC"/>
    <w:rsid w:val="006576A0"/>
    <w:rsid w:val="0065789A"/>
    <w:rsid w:val="006601D2"/>
    <w:rsid w:val="006602D6"/>
    <w:rsid w:val="00662547"/>
    <w:rsid w:val="00662EC5"/>
    <w:rsid w:val="00663674"/>
    <w:rsid w:val="00664456"/>
    <w:rsid w:val="00673576"/>
    <w:rsid w:val="00677112"/>
    <w:rsid w:val="0067759E"/>
    <w:rsid w:val="00677699"/>
    <w:rsid w:val="006778BB"/>
    <w:rsid w:val="00680A1E"/>
    <w:rsid w:val="0068411D"/>
    <w:rsid w:val="0069164B"/>
    <w:rsid w:val="00693207"/>
    <w:rsid w:val="006949CF"/>
    <w:rsid w:val="0069608E"/>
    <w:rsid w:val="00697554"/>
    <w:rsid w:val="006A1EFD"/>
    <w:rsid w:val="006A3C99"/>
    <w:rsid w:val="006A4CE1"/>
    <w:rsid w:val="006A6FD4"/>
    <w:rsid w:val="006A7418"/>
    <w:rsid w:val="006B0BBE"/>
    <w:rsid w:val="006B100B"/>
    <w:rsid w:val="006B1703"/>
    <w:rsid w:val="006B22F5"/>
    <w:rsid w:val="006B39FB"/>
    <w:rsid w:val="006B5857"/>
    <w:rsid w:val="006B6F4A"/>
    <w:rsid w:val="006B6F74"/>
    <w:rsid w:val="006C1039"/>
    <w:rsid w:val="006C35EF"/>
    <w:rsid w:val="006C6970"/>
    <w:rsid w:val="006C713A"/>
    <w:rsid w:val="006D1B84"/>
    <w:rsid w:val="006D2151"/>
    <w:rsid w:val="006D2478"/>
    <w:rsid w:val="006D3898"/>
    <w:rsid w:val="006D7631"/>
    <w:rsid w:val="006D79F8"/>
    <w:rsid w:val="006E06EC"/>
    <w:rsid w:val="006E0FD7"/>
    <w:rsid w:val="006E4AFA"/>
    <w:rsid w:val="006E54DB"/>
    <w:rsid w:val="006E5C7C"/>
    <w:rsid w:val="006F08C4"/>
    <w:rsid w:val="006F0E7B"/>
    <w:rsid w:val="006F0EF7"/>
    <w:rsid w:val="006F12C3"/>
    <w:rsid w:val="006F1303"/>
    <w:rsid w:val="006F1591"/>
    <w:rsid w:val="006F176D"/>
    <w:rsid w:val="006F2B6A"/>
    <w:rsid w:val="006F3AC0"/>
    <w:rsid w:val="006F5C77"/>
    <w:rsid w:val="006F6787"/>
    <w:rsid w:val="006F7E24"/>
    <w:rsid w:val="0070189F"/>
    <w:rsid w:val="00701922"/>
    <w:rsid w:val="0070527A"/>
    <w:rsid w:val="00714358"/>
    <w:rsid w:val="00717A35"/>
    <w:rsid w:val="007210D2"/>
    <w:rsid w:val="00721A71"/>
    <w:rsid w:val="0072209D"/>
    <w:rsid w:val="00724B98"/>
    <w:rsid w:val="007253B4"/>
    <w:rsid w:val="00725606"/>
    <w:rsid w:val="00725FCE"/>
    <w:rsid w:val="007322AC"/>
    <w:rsid w:val="00732ECD"/>
    <w:rsid w:val="00733191"/>
    <w:rsid w:val="00735BFE"/>
    <w:rsid w:val="007365C6"/>
    <w:rsid w:val="00736BF9"/>
    <w:rsid w:val="00737123"/>
    <w:rsid w:val="00740DBE"/>
    <w:rsid w:val="00741E2F"/>
    <w:rsid w:val="00747C6F"/>
    <w:rsid w:val="0075010B"/>
    <w:rsid w:val="00750900"/>
    <w:rsid w:val="00750C43"/>
    <w:rsid w:val="00751CBF"/>
    <w:rsid w:val="007542DF"/>
    <w:rsid w:val="0075746C"/>
    <w:rsid w:val="007615EF"/>
    <w:rsid w:val="00761E37"/>
    <w:rsid w:val="007644B6"/>
    <w:rsid w:val="007670FD"/>
    <w:rsid w:val="00770497"/>
    <w:rsid w:val="0077154F"/>
    <w:rsid w:val="00772164"/>
    <w:rsid w:val="00775D55"/>
    <w:rsid w:val="00777ED8"/>
    <w:rsid w:val="00780011"/>
    <w:rsid w:val="007803BF"/>
    <w:rsid w:val="0078308C"/>
    <w:rsid w:val="00785F93"/>
    <w:rsid w:val="0079062E"/>
    <w:rsid w:val="007911F3"/>
    <w:rsid w:val="007937FC"/>
    <w:rsid w:val="00793867"/>
    <w:rsid w:val="00793BA4"/>
    <w:rsid w:val="007A23C8"/>
    <w:rsid w:val="007A7274"/>
    <w:rsid w:val="007B146B"/>
    <w:rsid w:val="007B33D6"/>
    <w:rsid w:val="007B3C4E"/>
    <w:rsid w:val="007B4313"/>
    <w:rsid w:val="007B4C0E"/>
    <w:rsid w:val="007B6658"/>
    <w:rsid w:val="007B6AAA"/>
    <w:rsid w:val="007B6AF8"/>
    <w:rsid w:val="007B7E84"/>
    <w:rsid w:val="007B7E8E"/>
    <w:rsid w:val="007C181A"/>
    <w:rsid w:val="007C3988"/>
    <w:rsid w:val="007C3FCB"/>
    <w:rsid w:val="007D0F59"/>
    <w:rsid w:val="007D2230"/>
    <w:rsid w:val="007D3400"/>
    <w:rsid w:val="007D5887"/>
    <w:rsid w:val="007D705C"/>
    <w:rsid w:val="007E118B"/>
    <w:rsid w:val="007E2166"/>
    <w:rsid w:val="007E2712"/>
    <w:rsid w:val="007E2DAD"/>
    <w:rsid w:val="007E3B5B"/>
    <w:rsid w:val="007E4688"/>
    <w:rsid w:val="007E65F1"/>
    <w:rsid w:val="007F1FDF"/>
    <w:rsid w:val="007F2A06"/>
    <w:rsid w:val="007F5456"/>
    <w:rsid w:val="008024F2"/>
    <w:rsid w:val="00807044"/>
    <w:rsid w:val="00810507"/>
    <w:rsid w:val="00811793"/>
    <w:rsid w:val="0081186A"/>
    <w:rsid w:val="00811F9D"/>
    <w:rsid w:val="0081375E"/>
    <w:rsid w:val="008162BE"/>
    <w:rsid w:val="008168C4"/>
    <w:rsid w:val="00816F64"/>
    <w:rsid w:val="00817AAB"/>
    <w:rsid w:val="008209B1"/>
    <w:rsid w:val="00820AE7"/>
    <w:rsid w:val="008257E2"/>
    <w:rsid w:val="008259A5"/>
    <w:rsid w:val="00825CB3"/>
    <w:rsid w:val="008279CA"/>
    <w:rsid w:val="00832459"/>
    <w:rsid w:val="0083264A"/>
    <w:rsid w:val="00833ECF"/>
    <w:rsid w:val="008356C1"/>
    <w:rsid w:val="008356F4"/>
    <w:rsid w:val="00836C5E"/>
    <w:rsid w:val="00840033"/>
    <w:rsid w:val="0084110C"/>
    <w:rsid w:val="00842AE5"/>
    <w:rsid w:val="00845590"/>
    <w:rsid w:val="0085087A"/>
    <w:rsid w:val="008516C3"/>
    <w:rsid w:val="00851CFA"/>
    <w:rsid w:val="0085206E"/>
    <w:rsid w:val="008540DB"/>
    <w:rsid w:val="00854238"/>
    <w:rsid w:val="008559F6"/>
    <w:rsid w:val="00861DE5"/>
    <w:rsid w:val="00863F14"/>
    <w:rsid w:val="00864003"/>
    <w:rsid w:val="0087080B"/>
    <w:rsid w:val="00876B8C"/>
    <w:rsid w:val="00876CB7"/>
    <w:rsid w:val="00877010"/>
    <w:rsid w:val="00877BB5"/>
    <w:rsid w:val="00884D83"/>
    <w:rsid w:val="00885502"/>
    <w:rsid w:val="008903BC"/>
    <w:rsid w:val="00893AD0"/>
    <w:rsid w:val="008956EE"/>
    <w:rsid w:val="00896003"/>
    <w:rsid w:val="00896328"/>
    <w:rsid w:val="008A09B8"/>
    <w:rsid w:val="008A5E25"/>
    <w:rsid w:val="008B0189"/>
    <w:rsid w:val="008B020D"/>
    <w:rsid w:val="008B0642"/>
    <w:rsid w:val="008B3065"/>
    <w:rsid w:val="008B43B1"/>
    <w:rsid w:val="008B5B96"/>
    <w:rsid w:val="008B7374"/>
    <w:rsid w:val="008C10A9"/>
    <w:rsid w:val="008C35E6"/>
    <w:rsid w:val="008C3785"/>
    <w:rsid w:val="008C3DAA"/>
    <w:rsid w:val="008C5833"/>
    <w:rsid w:val="008D03EA"/>
    <w:rsid w:val="008D4296"/>
    <w:rsid w:val="008E017C"/>
    <w:rsid w:val="008E0819"/>
    <w:rsid w:val="008E08EF"/>
    <w:rsid w:val="008E307B"/>
    <w:rsid w:val="008E33DB"/>
    <w:rsid w:val="008E6496"/>
    <w:rsid w:val="008F039A"/>
    <w:rsid w:val="008F4237"/>
    <w:rsid w:val="008F49CC"/>
    <w:rsid w:val="008F4ED2"/>
    <w:rsid w:val="00900E41"/>
    <w:rsid w:val="00902359"/>
    <w:rsid w:val="0090255B"/>
    <w:rsid w:val="009029E7"/>
    <w:rsid w:val="009048A4"/>
    <w:rsid w:val="009054A7"/>
    <w:rsid w:val="00905B83"/>
    <w:rsid w:val="00905DBE"/>
    <w:rsid w:val="00907193"/>
    <w:rsid w:val="00910CCA"/>
    <w:rsid w:val="0091745A"/>
    <w:rsid w:val="0092166F"/>
    <w:rsid w:val="00922DE6"/>
    <w:rsid w:val="00923D5E"/>
    <w:rsid w:val="00930875"/>
    <w:rsid w:val="00930964"/>
    <w:rsid w:val="00931E29"/>
    <w:rsid w:val="00932AD3"/>
    <w:rsid w:val="0093567B"/>
    <w:rsid w:val="00942C58"/>
    <w:rsid w:val="009433D1"/>
    <w:rsid w:val="00943474"/>
    <w:rsid w:val="00943AEA"/>
    <w:rsid w:val="00946853"/>
    <w:rsid w:val="00947426"/>
    <w:rsid w:val="009500E7"/>
    <w:rsid w:val="00950AFF"/>
    <w:rsid w:val="00950C29"/>
    <w:rsid w:val="00951F73"/>
    <w:rsid w:val="0095358D"/>
    <w:rsid w:val="00953D99"/>
    <w:rsid w:val="009549B6"/>
    <w:rsid w:val="00957E17"/>
    <w:rsid w:val="00960086"/>
    <w:rsid w:val="009603E2"/>
    <w:rsid w:val="009627C4"/>
    <w:rsid w:val="0096521A"/>
    <w:rsid w:val="00965B17"/>
    <w:rsid w:val="00974CF6"/>
    <w:rsid w:val="00977EDA"/>
    <w:rsid w:val="00982BE4"/>
    <w:rsid w:val="00984E0A"/>
    <w:rsid w:val="009851E4"/>
    <w:rsid w:val="00987198"/>
    <w:rsid w:val="00987637"/>
    <w:rsid w:val="009912CC"/>
    <w:rsid w:val="009941DA"/>
    <w:rsid w:val="009A0409"/>
    <w:rsid w:val="009A197D"/>
    <w:rsid w:val="009A2163"/>
    <w:rsid w:val="009A2B2A"/>
    <w:rsid w:val="009A6ADB"/>
    <w:rsid w:val="009B1C68"/>
    <w:rsid w:val="009B2259"/>
    <w:rsid w:val="009B42EC"/>
    <w:rsid w:val="009B6170"/>
    <w:rsid w:val="009B69A0"/>
    <w:rsid w:val="009B746D"/>
    <w:rsid w:val="009B7E21"/>
    <w:rsid w:val="009C0874"/>
    <w:rsid w:val="009C2AE9"/>
    <w:rsid w:val="009C6DB8"/>
    <w:rsid w:val="009C6E75"/>
    <w:rsid w:val="009D2114"/>
    <w:rsid w:val="009D762A"/>
    <w:rsid w:val="009E79E0"/>
    <w:rsid w:val="009F01F5"/>
    <w:rsid w:val="009F1659"/>
    <w:rsid w:val="009F2622"/>
    <w:rsid w:val="009F3C3F"/>
    <w:rsid w:val="009F4543"/>
    <w:rsid w:val="009F57CB"/>
    <w:rsid w:val="009F71E7"/>
    <w:rsid w:val="00A00694"/>
    <w:rsid w:val="00A013B8"/>
    <w:rsid w:val="00A020B0"/>
    <w:rsid w:val="00A039A5"/>
    <w:rsid w:val="00A06382"/>
    <w:rsid w:val="00A06716"/>
    <w:rsid w:val="00A1086F"/>
    <w:rsid w:val="00A11453"/>
    <w:rsid w:val="00A12D42"/>
    <w:rsid w:val="00A134CE"/>
    <w:rsid w:val="00A156DC"/>
    <w:rsid w:val="00A17AAB"/>
    <w:rsid w:val="00A2532C"/>
    <w:rsid w:val="00A25566"/>
    <w:rsid w:val="00A26DFF"/>
    <w:rsid w:val="00A27F05"/>
    <w:rsid w:val="00A3010F"/>
    <w:rsid w:val="00A334FD"/>
    <w:rsid w:val="00A34515"/>
    <w:rsid w:val="00A35378"/>
    <w:rsid w:val="00A36F9A"/>
    <w:rsid w:val="00A37269"/>
    <w:rsid w:val="00A401CD"/>
    <w:rsid w:val="00A44FC2"/>
    <w:rsid w:val="00A50D00"/>
    <w:rsid w:val="00A527DC"/>
    <w:rsid w:val="00A56BED"/>
    <w:rsid w:val="00A57325"/>
    <w:rsid w:val="00A573A2"/>
    <w:rsid w:val="00A62765"/>
    <w:rsid w:val="00A62BDB"/>
    <w:rsid w:val="00A632AD"/>
    <w:rsid w:val="00A65024"/>
    <w:rsid w:val="00A73DAA"/>
    <w:rsid w:val="00A73DEE"/>
    <w:rsid w:val="00A76A85"/>
    <w:rsid w:val="00A76A90"/>
    <w:rsid w:val="00A77148"/>
    <w:rsid w:val="00A77756"/>
    <w:rsid w:val="00A8067F"/>
    <w:rsid w:val="00A80B32"/>
    <w:rsid w:val="00A83122"/>
    <w:rsid w:val="00A84ED9"/>
    <w:rsid w:val="00A90D4C"/>
    <w:rsid w:val="00A9189C"/>
    <w:rsid w:val="00A93568"/>
    <w:rsid w:val="00A94481"/>
    <w:rsid w:val="00A96AD9"/>
    <w:rsid w:val="00A97CD6"/>
    <w:rsid w:val="00AA0540"/>
    <w:rsid w:val="00AA4D8A"/>
    <w:rsid w:val="00AA5678"/>
    <w:rsid w:val="00AA56B5"/>
    <w:rsid w:val="00AB3D3E"/>
    <w:rsid w:val="00AB4763"/>
    <w:rsid w:val="00AB5C37"/>
    <w:rsid w:val="00AC0F4E"/>
    <w:rsid w:val="00AC36B1"/>
    <w:rsid w:val="00AC39D2"/>
    <w:rsid w:val="00AC4950"/>
    <w:rsid w:val="00AC53B5"/>
    <w:rsid w:val="00AD0F83"/>
    <w:rsid w:val="00AD175A"/>
    <w:rsid w:val="00AD1958"/>
    <w:rsid w:val="00AD2134"/>
    <w:rsid w:val="00AD3459"/>
    <w:rsid w:val="00AE03A8"/>
    <w:rsid w:val="00AE1276"/>
    <w:rsid w:val="00AE1FAD"/>
    <w:rsid w:val="00AE38FE"/>
    <w:rsid w:val="00AE3ADD"/>
    <w:rsid w:val="00AE62E8"/>
    <w:rsid w:val="00AE63CB"/>
    <w:rsid w:val="00AE78DD"/>
    <w:rsid w:val="00AF0AD6"/>
    <w:rsid w:val="00AF2AFE"/>
    <w:rsid w:val="00AF43F4"/>
    <w:rsid w:val="00AF703F"/>
    <w:rsid w:val="00AF7B0F"/>
    <w:rsid w:val="00AF7C46"/>
    <w:rsid w:val="00B01388"/>
    <w:rsid w:val="00B015D0"/>
    <w:rsid w:val="00B05933"/>
    <w:rsid w:val="00B077A8"/>
    <w:rsid w:val="00B134C4"/>
    <w:rsid w:val="00B13F93"/>
    <w:rsid w:val="00B14AB3"/>
    <w:rsid w:val="00B14B0F"/>
    <w:rsid w:val="00B2117E"/>
    <w:rsid w:val="00B22E57"/>
    <w:rsid w:val="00B23978"/>
    <w:rsid w:val="00B239D9"/>
    <w:rsid w:val="00B23F6F"/>
    <w:rsid w:val="00B252EF"/>
    <w:rsid w:val="00B25B38"/>
    <w:rsid w:val="00B30720"/>
    <w:rsid w:val="00B307DC"/>
    <w:rsid w:val="00B31F9C"/>
    <w:rsid w:val="00B32D9D"/>
    <w:rsid w:val="00B34031"/>
    <w:rsid w:val="00B341AF"/>
    <w:rsid w:val="00B357FA"/>
    <w:rsid w:val="00B36673"/>
    <w:rsid w:val="00B371F5"/>
    <w:rsid w:val="00B4012D"/>
    <w:rsid w:val="00B40375"/>
    <w:rsid w:val="00B403FB"/>
    <w:rsid w:val="00B4198F"/>
    <w:rsid w:val="00B41E5B"/>
    <w:rsid w:val="00B422A2"/>
    <w:rsid w:val="00B44EE5"/>
    <w:rsid w:val="00B4577F"/>
    <w:rsid w:val="00B50A40"/>
    <w:rsid w:val="00B51A79"/>
    <w:rsid w:val="00B520BF"/>
    <w:rsid w:val="00B54224"/>
    <w:rsid w:val="00B5455E"/>
    <w:rsid w:val="00B554E5"/>
    <w:rsid w:val="00B606E2"/>
    <w:rsid w:val="00B63976"/>
    <w:rsid w:val="00B65232"/>
    <w:rsid w:val="00B66CE0"/>
    <w:rsid w:val="00B67640"/>
    <w:rsid w:val="00B67B80"/>
    <w:rsid w:val="00B70276"/>
    <w:rsid w:val="00B7569C"/>
    <w:rsid w:val="00B75A43"/>
    <w:rsid w:val="00B75F6E"/>
    <w:rsid w:val="00B761FA"/>
    <w:rsid w:val="00B80DB8"/>
    <w:rsid w:val="00B852C3"/>
    <w:rsid w:val="00B85B14"/>
    <w:rsid w:val="00B86185"/>
    <w:rsid w:val="00B906B5"/>
    <w:rsid w:val="00B91312"/>
    <w:rsid w:val="00B9407E"/>
    <w:rsid w:val="00BA0E14"/>
    <w:rsid w:val="00BA1750"/>
    <w:rsid w:val="00BA20A1"/>
    <w:rsid w:val="00BA3042"/>
    <w:rsid w:val="00BA476B"/>
    <w:rsid w:val="00BA4C0B"/>
    <w:rsid w:val="00BA7048"/>
    <w:rsid w:val="00BA78B3"/>
    <w:rsid w:val="00BB0671"/>
    <w:rsid w:val="00BB266A"/>
    <w:rsid w:val="00BB4A24"/>
    <w:rsid w:val="00BB5A49"/>
    <w:rsid w:val="00BC1003"/>
    <w:rsid w:val="00BC71DE"/>
    <w:rsid w:val="00BD015A"/>
    <w:rsid w:val="00BD0760"/>
    <w:rsid w:val="00BD0F21"/>
    <w:rsid w:val="00BD1A57"/>
    <w:rsid w:val="00BD70FE"/>
    <w:rsid w:val="00BE073D"/>
    <w:rsid w:val="00BE0AF3"/>
    <w:rsid w:val="00BE26B5"/>
    <w:rsid w:val="00BE37F1"/>
    <w:rsid w:val="00BE5F67"/>
    <w:rsid w:val="00BF0E85"/>
    <w:rsid w:val="00BF1A2D"/>
    <w:rsid w:val="00BF529E"/>
    <w:rsid w:val="00BF78D3"/>
    <w:rsid w:val="00C03CD5"/>
    <w:rsid w:val="00C0405B"/>
    <w:rsid w:val="00C0596E"/>
    <w:rsid w:val="00C13B1B"/>
    <w:rsid w:val="00C14E8E"/>
    <w:rsid w:val="00C1516A"/>
    <w:rsid w:val="00C151C1"/>
    <w:rsid w:val="00C15FFD"/>
    <w:rsid w:val="00C2013D"/>
    <w:rsid w:val="00C21781"/>
    <w:rsid w:val="00C21984"/>
    <w:rsid w:val="00C22ADC"/>
    <w:rsid w:val="00C233B1"/>
    <w:rsid w:val="00C235F1"/>
    <w:rsid w:val="00C24E75"/>
    <w:rsid w:val="00C250FC"/>
    <w:rsid w:val="00C254C0"/>
    <w:rsid w:val="00C34286"/>
    <w:rsid w:val="00C342DE"/>
    <w:rsid w:val="00C34E2F"/>
    <w:rsid w:val="00C44B41"/>
    <w:rsid w:val="00C44D05"/>
    <w:rsid w:val="00C44E57"/>
    <w:rsid w:val="00C45D4C"/>
    <w:rsid w:val="00C520CA"/>
    <w:rsid w:val="00C52838"/>
    <w:rsid w:val="00C54000"/>
    <w:rsid w:val="00C56274"/>
    <w:rsid w:val="00C578A1"/>
    <w:rsid w:val="00C61A88"/>
    <w:rsid w:val="00C64787"/>
    <w:rsid w:val="00C65EFB"/>
    <w:rsid w:val="00C70548"/>
    <w:rsid w:val="00C716E5"/>
    <w:rsid w:val="00C718CE"/>
    <w:rsid w:val="00C71FC7"/>
    <w:rsid w:val="00C75103"/>
    <w:rsid w:val="00C779D8"/>
    <w:rsid w:val="00C77D3B"/>
    <w:rsid w:val="00C8020D"/>
    <w:rsid w:val="00C80B1F"/>
    <w:rsid w:val="00C81D66"/>
    <w:rsid w:val="00C83247"/>
    <w:rsid w:val="00C83C75"/>
    <w:rsid w:val="00C8544A"/>
    <w:rsid w:val="00C86091"/>
    <w:rsid w:val="00C87DAF"/>
    <w:rsid w:val="00C91060"/>
    <w:rsid w:val="00C921FF"/>
    <w:rsid w:val="00C937EB"/>
    <w:rsid w:val="00C94528"/>
    <w:rsid w:val="00C94E73"/>
    <w:rsid w:val="00C95A75"/>
    <w:rsid w:val="00CA0494"/>
    <w:rsid w:val="00CA2E0D"/>
    <w:rsid w:val="00CA4027"/>
    <w:rsid w:val="00CA5D21"/>
    <w:rsid w:val="00CA7D0D"/>
    <w:rsid w:val="00CA7D4D"/>
    <w:rsid w:val="00CB034B"/>
    <w:rsid w:val="00CB1290"/>
    <w:rsid w:val="00CB1801"/>
    <w:rsid w:val="00CB3734"/>
    <w:rsid w:val="00CB39E3"/>
    <w:rsid w:val="00CB7D26"/>
    <w:rsid w:val="00CC1EC2"/>
    <w:rsid w:val="00CC3AE4"/>
    <w:rsid w:val="00CC6097"/>
    <w:rsid w:val="00CC6E44"/>
    <w:rsid w:val="00CD1A6F"/>
    <w:rsid w:val="00CD2C3E"/>
    <w:rsid w:val="00CD2CBD"/>
    <w:rsid w:val="00CD3F51"/>
    <w:rsid w:val="00CD5386"/>
    <w:rsid w:val="00CD619A"/>
    <w:rsid w:val="00CD622A"/>
    <w:rsid w:val="00CD6703"/>
    <w:rsid w:val="00CE0242"/>
    <w:rsid w:val="00CE1694"/>
    <w:rsid w:val="00CE1696"/>
    <w:rsid w:val="00CE199A"/>
    <w:rsid w:val="00CE3F6F"/>
    <w:rsid w:val="00CE5A0F"/>
    <w:rsid w:val="00CE5AA2"/>
    <w:rsid w:val="00CE72AB"/>
    <w:rsid w:val="00CE79C0"/>
    <w:rsid w:val="00CF0189"/>
    <w:rsid w:val="00CF23D6"/>
    <w:rsid w:val="00CF48FA"/>
    <w:rsid w:val="00CF699C"/>
    <w:rsid w:val="00D00B63"/>
    <w:rsid w:val="00D022FC"/>
    <w:rsid w:val="00D04649"/>
    <w:rsid w:val="00D04A87"/>
    <w:rsid w:val="00D05EE6"/>
    <w:rsid w:val="00D07CBA"/>
    <w:rsid w:val="00D10736"/>
    <w:rsid w:val="00D1141D"/>
    <w:rsid w:val="00D14038"/>
    <w:rsid w:val="00D176A8"/>
    <w:rsid w:val="00D20B7C"/>
    <w:rsid w:val="00D21C9D"/>
    <w:rsid w:val="00D2206C"/>
    <w:rsid w:val="00D22196"/>
    <w:rsid w:val="00D2432F"/>
    <w:rsid w:val="00D25F37"/>
    <w:rsid w:val="00D26B80"/>
    <w:rsid w:val="00D32149"/>
    <w:rsid w:val="00D32859"/>
    <w:rsid w:val="00D355C7"/>
    <w:rsid w:val="00D35E71"/>
    <w:rsid w:val="00D3673E"/>
    <w:rsid w:val="00D41FD3"/>
    <w:rsid w:val="00D42D5D"/>
    <w:rsid w:val="00D44633"/>
    <w:rsid w:val="00D44D72"/>
    <w:rsid w:val="00D45FD2"/>
    <w:rsid w:val="00D46C5D"/>
    <w:rsid w:val="00D4726B"/>
    <w:rsid w:val="00D5168A"/>
    <w:rsid w:val="00D52891"/>
    <w:rsid w:val="00D55285"/>
    <w:rsid w:val="00D614CD"/>
    <w:rsid w:val="00D6563F"/>
    <w:rsid w:val="00D67AE1"/>
    <w:rsid w:val="00D70AB9"/>
    <w:rsid w:val="00D72610"/>
    <w:rsid w:val="00D72B8C"/>
    <w:rsid w:val="00D73819"/>
    <w:rsid w:val="00D73DBD"/>
    <w:rsid w:val="00D74CFD"/>
    <w:rsid w:val="00D77A42"/>
    <w:rsid w:val="00D812B1"/>
    <w:rsid w:val="00D819B8"/>
    <w:rsid w:val="00D84103"/>
    <w:rsid w:val="00D841A2"/>
    <w:rsid w:val="00D875BB"/>
    <w:rsid w:val="00D90052"/>
    <w:rsid w:val="00D91438"/>
    <w:rsid w:val="00D94F3D"/>
    <w:rsid w:val="00DA0684"/>
    <w:rsid w:val="00DA182A"/>
    <w:rsid w:val="00DA2437"/>
    <w:rsid w:val="00DA2E6A"/>
    <w:rsid w:val="00DA3A86"/>
    <w:rsid w:val="00DA3AF8"/>
    <w:rsid w:val="00DA69A1"/>
    <w:rsid w:val="00DA78DD"/>
    <w:rsid w:val="00DB08BA"/>
    <w:rsid w:val="00DB1B99"/>
    <w:rsid w:val="00DB2241"/>
    <w:rsid w:val="00DB31F3"/>
    <w:rsid w:val="00DB3567"/>
    <w:rsid w:val="00DB4A9C"/>
    <w:rsid w:val="00DC041F"/>
    <w:rsid w:val="00DC1C49"/>
    <w:rsid w:val="00DC1CCB"/>
    <w:rsid w:val="00DC50F5"/>
    <w:rsid w:val="00DC56B4"/>
    <w:rsid w:val="00DC6DC1"/>
    <w:rsid w:val="00DD109C"/>
    <w:rsid w:val="00DD1386"/>
    <w:rsid w:val="00DD208C"/>
    <w:rsid w:val="00DD24DF"/>
    <w:rsid w:val="00DD2687"/>
    <w:rsid w:val="00DD3933"/>
    <w:rsid w:val="00DE0D8B"/>
    <w:rsid w:val="00DE0DAE"/>
    <w:rsid w:val="00DE2487"/>
    <w:rsid w:val="00DE306C"/>
    <w:rsid w:val="00DE3090"/>
    <w:rsid w:val="00DE3173"/>
    <w:rsid w:val="00DE3350"/>
    <w:rsid w:val="00DE4E59"/>
    <w:rsid w:val="00DE6090"/>
    <w:rsid w:val="00DE728D"/>
    <w:rsid w:val="00DF181B"/>
    <w:rsid w:val="00DF3E50"/>
    <w:rsid w:val="00DF4D8D"/>
    <w:rsid w:val="00DF648F"/>
    <w:rsid w:val="00E012B7"/>
    <w:rsid w:val="00E01BDB"/>
    <w:rsid w:val="00E0661F"/>
    <w:rsid w:val="00E07722"/>
    <w:rsid w:val="00E10091"/>
    <w:rsid w:val="00E10CCC"/>
    <w:rsid w:val="00E11D60"/>
    <w:rsid w:val="00E1278D"/>
    <w:rsid w:val="00E132CD"/>
    <w:rsid w:val="00E1577E"/>
    <w:rsid w:val="00E16619"/>
    <w:rsid w:val="00E16D5E"/>
    <w:rsid w:val="00E17507"/>
    <w:rsid w:val="00E17A7C"/>
    <w:rsid w:val="00E21DDE"/>
    <w:rsid w:val="00E2211D"/>
    <w:rsid w:val="00E2300E"/>
    <w:rsid w:val="00E231BC"/>
    <w:rsid w:val="00E23372"/>
    <w:rsid w:val="00E24770"/>
    <w:rsid w:val="00E24D91"/>
    <w:rsid w:val="00E27BE9"/>
    <w:rsid w:val="00E27E84"/>
    <w:rsid w:val="00E312F8"/>
    <w:rsid w:val="00E32B3C"/>
    <w:rsid w:val="00E345E8"/>
    <w:rsid w:val="00E35F4F"/>
    <w:rsid w:val="00E40F53"/>
    <w:rsid w:val="00E423D1"/>
    <w:rsid w:val="00E43743"/>
    <w:rsid w:val="00E4420F"/>
    <w:rsid w:val="00E4455C"/>
    <w:rsid w:val="00E4600D"/>
    <w:rsid w:val="00E4686F"/>
    <w:rsid w:val="00E46877"/>
    <w:rsid w:val="00E46F6C"/>
    <w:rsid w:val="00E47897"/>
    <w:rsid w:val="00E5117D"/>
    <w:rsid w:val="00E51C46"/>
    <w:rsid w:val="00E530D7"/>
    <w:rsid w:val="00E5391D"/>
    <w:rsid w:val="00E54A52"/>
    <w:rsid w:val="00E54A9A"/>
    <w:rsid w:val="00E55C34"/>
    <w:rsid w:val="00E5630B"/>
    <w:rsid w:val="00E57CF3"/>
    <w:rsid w:val="00E61F33"/>
    <w:rsid w:val="00E6244B"/>
    <w:rsid w:val="00E62844"/>
    <w:rsid w:val="00E653C2"/>
    <w:rsid w:val="00E6622B"/>
    <w:rsid w:val="00E732A3"/>
    <w:rsid w:val="00E74EAD"/>
    <w:rsid w:val="00E760E8"/>
    <w:rsid w:val="00E761B3"/>
    <w:rsid w:val="00E91EFC"/>
    <w:rsid w:val="00E93028"/>
    <w:rsid w:val="00E96CDC"/>
    <w:rsid w:val="00EA0A65"/>
    <w:rsid w:val="00EA0CA5"/>
    <w:rsid w:val="00EA109B"/>
    <w:rsid w:val="00EA2557"/>
    <w:rsid w:val="00EA2DE3"/>
    <w:rsid w:val="00EA2FD2"/>
    <w:rsid w:val="00EA33BB"/>
    <w:rsid w:val="00EA3EF9"/>
    <w:rsid w:val="00EA7CB7"/>
    <w:rsid w:val="00EB374C"/>
    <w:rsid w:val="00EB3778"/>
    <w:rsid w:val="00EB523D"/>
    <w:rsid w:val="00EB5398"/>
    <w:rsid w:val="00EC0578"/>
    <w:rsid w:val="00EC0B70"/>
    <w:rsid w:val="00EC0FFD"/>
    <w:rsid w:val="00EC161E"/>
    <w:rsid w:val="00EC4618"/>
    <w:rsid w:val="00EC559B"/>
    <w:rsid w:val="00ED103C"/>
    <w:rsid w:val="00ED68C5"/>
    <w:rsid w:val="00ED7104"/>
    <w:rsid w:val="00ED7544"/>
    <w:rsid w:val="00EE09DA"/>
    <w:rsid w:val="00EE170F"/>
    <w:rsid w:val="00EE3698"/>
    <w:rsid w:val="00EE4E02"/>
    <w:rsid w:val="00EE62E6"/>
    <w:rsid w:val="00EE7118"/>
    <w:rsid w:val="00EE768D"/>
    <w:rsid w:val="00EF1414"/>
    <w:rsid w:val="00EF331E"/>
    <w:rsid w:val="00EF3E15"/>
    <w:rsid w:val="00EF42F9"/>
    <w:rsid w:val="00EF6195"/>
    <w:rsid w:val="00F02DA6"/>
    <w:rsid w:val="00F03453"/>
    <w:rsid w:val="00F0475C"/>
    <w:rsid w:val="00F0567C"/>
    <w:rsid w:val="00F058B3"/>
    <w:rsid w:val="00F05CFB"/>
    <w:rsid w:val="00F07105"/>
    <w:rsid w:val="00F103B7"/>
    <w:rsid w:val="00F10882"/>
    <w:rsid w:val="00F12213"/>
    <w:rsid w:val="00F15E3A"/>
    <w:rsid w:val="00F1657E"/>
    <w:rsid w:val="00F17121"/>
    <w:rsid w:val="00F2008C"/>
    <w:rsid w:val="00F22E44"/>
    <w:rsid w:val="00F2331F"/>
    <w:rsid w:val="00F237FE"/>
    <w:rsid w:val="00F23CAE"/>
    <w:rsid w:val="00F274A8"/>
    <w:rsid w:val="00F32AA5"/>
    <w:rsid w:val="00F33426"/>
    <w:rsid w:val="00F33FD1"/>
    <w:rsid w:val="00F37724"/>
    <w:rsid w:val="00F4368D"/>
    <w:rsid w:val="00F445B1"/>
    <w:rsid w:val="00F44C3E"/>
    <w:rsid w:val="00F455B7"/>
    <w:rsid w:val="00F45E5A"/>
    <w:rsid w:val="00F46403"/>
    <w:rsid w:val="00F51D03"/>
    <w:rsid w:val="00F52DED"/>
    <w:rsid w:val="00F554F9"/>
    <w:rsid w:val="00F611EE"/>
    <w:rsid w:val="00F6699A"/>
    <w:rsid w:val="00F765C3"/>
    <w:rsid w:val="00F77BB7"/>
    <w:rsid w:val="00F77D1C"/>
    <w:rsid w:val="00F80F29"/>
    <w:rsid w:val="00F8112F"/>
    <w:rsid w:val="00F834DA"/>
    <w:rsid w:val="00F83650"/>
    <w:rsid w:val="00F83BB7"/>
    <w:rsid w:val="00F90C06"/>
    <w:rsid w:val="00F928D6"/>
    <w:rsid w:val="00F92A1A"/>
    <w:rsid w:val="00F94D5D"/>
    <w:rsid w:val="00FA32E2"/>
    <w:rsid w:val="00FA6A8D"/>
    <w:rsid w:val="00FA7209"/>
    <w:rsid w:val="00FB0EAD"/>
    <w:rsid w:val="00FB3195"/>
    <w:rsid w:val="00FB6F3F"/>
    <w:rsid w:val="00FC1047"/>
    <w:rsid w:val="00FC1EE3"/>
    <w:rsid w:val="00FC4732"/>
    <w:rsid w:val="00FC49FA"/>
    <w:rsid w:val="00FC4C98"/>
    <w:rsid w:val="00FC67BA"/>
    <w:rsid w:val="00FC6DE7"/>
    <w:rsid w:val="00FC6F8F"/>
    <w:rsid w:val="00FD003A"/>
    <w:rsid w:val="00FD3E46"/>
    <w:rsid w:val="00FD4748"/>
    <w:rsid w:val="00FD79DE"/>
    <w:rsid w:val="00FE3168"/>
    <w:rsid w:val="00FE322C"/>
    <w:rsid w:val="00FE468F"/>
    <w:rsid w:val="00FE5EF5"/>
    <w:rsid w:val="00FE65F2"/>
    <w:rsid w:val="00FE689C"/>
    <w:rsid w:val="00FE7F5D"/>
    <w:rsid w:val="00FF1783"/>
    <w:rsid w:val="00FF414E"/>
    <w:rsid w:val="00FF52BC"/>
    <w:rsid w:val="00FF671E"/>
    <w:rsid w:val="00FF67FF"/>
    <w:rsid w:val="00FF680F"/>
    <w:rsid w:val="00FF6E70"/>
    <w:rsid w:val="011E4E6F"/>
    <w:rsid w:val="022F6CC7"/>
    <w:rsid w:val="024E3E03"/>
    <w:rsid w:val="026A0117"/>
    <w:rsid w:val="02C36545"/>
    <w:rsid w:val="04533B24"/>
    <w:rsid w:val="055E51B8"/>
    <w:rsid w:val="05CE65BD"/>
    <w:rsid w:val="06054DF9"/>
    <w:rsid w:val="08FF15CC"/>
    <w:rsid w:val="09AE14C0"/>
    <w:rsid w:val="0A8331F4"/>
    <w:rsid w:val="0C31191D"/>
    <w:rsid w:val="0CBA4C09"/>
    <w:rsid w:val="0CFD5197"/>
    <w:rsid w:val="0D9C2C0E"/>
    <w:rsid w:val="0E081595"/>
    <w:rsid w:val="117559DE"/>
    <w:rsid w:val="11ED5E71"/>
    <w:rsid w:val="11FF2E36"/>
    <w:rsid w:val="12084972"/>
    <w:rsid w:val="126F6371"/>
    <w:rsid w:val="13B679F7"/>
    <w:rsid w:val="15627EEC"/>
    <w:rsid w:val="15E538D1"/>
    <w:rsid w:val="16625C7C"/>
    <w:rsid w:val="16906639"/>
    <w:rsid w:val="16EB2BC5"/>
    <w:rsid w:val="17783DD4"/>
    <w:rsid w:val="17DC7BB3"/>
    <w:rsid w:val="183E7723"/>
    <w:rsid w:val="18732F15"/>
    <w:rsid w:val="18DA70FC"/>
    <w:rsid w:val="19243B37"/>
    <w:rsid w:val="1946415F"/>
    <w:rsid w:val="19D07AE3"/>
    <w:rsid w:val="1A7158D6"/>
    <w:rsid w:val="1AFB4877"/>
    <w:rsid w:val="1B694645"/>
    <w:rsid w:val="1B7A2641"/>
    <w:rsid w:val="1BF6F3FC"/>
    <w:rsid w:val="1D0404F9"/>
    <w:rsid w:val="1DCF5396"/>
    <w:rsid w:val="1DE15095"/>
    <w:rsid w:val="1FAA5AE5"/>
    <w:rsid w:val="1FAD45A9"/>
    <w:rsid w:val="1FD13003"/>
    <w:rsid w:val="1FE80B83"/>
    <w:rsid w:val="1FF849FB"/>
    <w:rsid w:val="20E53715"/>
    <w:rsid w:val="21765DCE"/>
    <w:rsid w:val="222010AD"/>
    <w:rsid w:val="222845DE"/>
    <w:rsid w:val="231478A6"/>
    <w:rsid w:val="23231BE7"/>
    <w:rsid w:val="239F64AE"/>
    <w:rsid w:val="23FD2773"/>
    <w:rsid w:val="242F2C13"/>
    <w:rsid w:val="26536E36"/>
    <w:rsid w:val="26D17343"/>
    <w:rsid w:val="27FF628A"/>
    <w:rsid w:val="29C0024C"/>
    <w:rsid w:val="2BB21BCF"/>
    <w:rsid w:val="2CB64841"/>
    <w:rsid w:val="2D4FF288"/>
    <w:rsid w:val="2D9D42C5"/>
    <w:rsid w:val="2DC11179"/>
    <w:rsid w:val="2E282355"/>
    <w:rsid w:val="2EFEB94A"/>
    <w:rsid w:val="2F1A6BB0"/>
    <w:rsid w:val="2FE930BB"/>
    <w:rsid w:val="302213DE"/>
    <w:rsid w:val="30784885"/>
    <w:rsid w:val="31062D5F"/>
    <w:rsid w:val="310B70F9"/>
    <w:rsid w:val="312043C5"/>
    <w:rsid w:val="31B719A1"/>
    <w:rsid w:val="31D80ECE"/>
    <w:rsid w:val="333A1E89"/>
    <w:rsid w:val="34516610"/>
    <w:rsid w:val="34B12072"/>
    <w:rsid w:val="3510641F"/>
    <w:rsid w:val="351E12B1"/>
    <w:rsid w:val="356A090D"/>
    <w:rsid w:val="357C3D56"/>
    <w:rsid w:val="35D01D16"/>
    <w:rsid w:val="36A8412D"/>
    <w:rsid w:val="36B978C7"/>
    <w:rsid w:val="3804769D"/>
    <w:rsid w:val="38B26658"/>
    <w:rsid w:val="39186263"/>
    <w:rsid w:val="3A4634D7"/>
    <w:rsid w:val="3B013648"/>
    <w:rsid w:val="3B1F6DD6"/>
    <w:rsid w:val="3E1B44D9"/>
    <w:rsid w:val="3F1B5313"/>
    <w:rsid w:val="3F311A87"/>
    <w:rsid w:val="3F3F4EEC"/>
    <w:rsid w:val="3F5F7C23"/>
    <w:rsid w:val="3FE129C4"/>
    <w:rsid w:val="3FFFD813"/>
    <w:rsid w:val="40154771"/>
    <w:rsid w:val="415B627F"/>
    <w:rsid w:val="42E23A06"/>
    <w:rsid w:val="445B5686"/>
    <w:rsid w:val="44873ED3"/>
    <w:rsid w:val="44DD48B8"/>
    <w:rsid w:val="46A20E63"/>
    <w:rsid w:val="46B20E26"/>
    <w:rsid w:val="47AFDF07"/>
    <w:rsid w:val="481F394E"/>
    <w:rsid w:val="48333E60"/>
    <w:rsid w:val="485118AD"/>
    <w:rsid w:val="48CE455E"/>
    <w:rsid w:val="498911B9"/>
    <w:rsid w:val="4BA7358E"/>
    <w:rsid w:val="4C4E3A51"/>
    <w:rsid w:val="4C7E333B"/>
    <w:rsid w:val="4E1371EC"/>
    <w:rsid w:val="4FB2064E"/>
    <w:rsid w:val="4FF0E601"/>
    <w:rsid w:val="52755A1B"/>
    <w:rsid w:val="55FFA298"/>
    <w:rsid w:val="56B31E0C"/>
    <w:rsid w:val="56FC7CB2"/>
    <w:rsid w:val="58760DFC"/>
    <w:rsid w:val="595C6FBB"/>
    <w:rsid w:val="59CF7647"/>
    <w:rsid w:val="59E86943"/>
    <w:rsid w:val="5B585BB9"/>
    <w:rsid w:val="5B6AEA1C"/>
    <w:rsid w:val="5D195043"/>
    <w:rsid w:val="5DC7DA67"/>
    <w:rsid w:val="5E72FD3B"/>
    <w:rsid w:val="5E77420B"/>
    <w:rsid w:val="5E795FEC"/>
    <w:rsid w:val="5EAE7237"/>
    <w:rsid w:val="5EFC2AE3"/>
    <w:rsid w:val="5F206407"/>
    <w:rsid w:val="60DE0000"/>
    <w:rsid w:val="61D112B6"/>
    <w:rsid w:val="62074112"/>
    <w:rsid w:val="627E1FEC"/>
    <w:rsid w:val="633477B8"/>
    <w:rsid w:val="633517E1"/>
    <w:rsid w:val="63F07273"/>
    <w:rsid w:val="64605740"/>
    <w:rsid w:val="6528379F"/>
    <w:rsid w:val="689E642B"/>
    <w:rsid w:val="689F67FC"/>
    <w:rsid w:val="69925D1F"/>
    <w:rsid w:val="69BF74DE"/>
    <w:rsid w:val="69EE4763"/>
    <w:rsid w:val="6A7DEE71"/>
    <w:rsid w:val="6AE430A1"/>
    <w:rsid w:val="6BC9603B"/>
    <w:rsid w:val="6BCEED44"/>
    <w:rsid w:val="6CD55B84"/>
    <w:rsid w:val="6CE17E90"/>
    <w:rsid w:val="6DB8A0C8"/>
    <w:rsid w:val="6DDE8E5A"/>
    <w:rsid w:val="6E773702"/>
    <w:rsid w:val="6E8F1A3E"/>
    <w:rsid w:val="6F2C01B1"/>
    <w:rsid w:val="6FD514B2"/>
    <w:rsid w:val="6FE96A9C"/>
    <w:rsid w:val="6FF57129"/>
    <w:rsid w:val="6FF6F360"/>
    <w:rsid w:val="707079F5"/>
    <w:rsid w:val="71283EF8"/>
    <w:rsid w:val="71AFC2E2"/>
    <w:rsid w:val="71CB7829"/>
    <w:rsid w:val="72A2079B"/>
    <w:rsid w:val="74C441CE"/>
    <w:rsid w:val="76350B9B"/>
    <w:rsid w:val="76BF43FE"/>
    <w:rsid w:val="76DF1E07"/>
    <w:rsid w:val="777F5403"/>
    <w:rsid w:val="77FDD8BD"/>
    <w:rsid w:val="784B2959"/>
    <w:rsid w:val="78B9110E"/>
    <w:rsid w:val="7931117A"/>
    <w:rsid w:val="7A786EAC"/>
    <w:rsid w:val="7AC34628"/>
    <w:rsid w:val="7AD8206E"/>
    <w:rsid w:val="7AFF8EE3"/>
    <w:rsid w:val="7B36CD8D"/>
    <w:rsid w:val="7B4D5FF3"/>
    <w:rsid w:val="7B723164"/>
    <w:rsid w:val="7C044A1D"/>
    <w:rsid w:val="7CEE1457"/>
    <w:rsid w:val="7D6C3FFD"/>
    <w:rsid w:val="7D7B18DD"/>
    <w:rsid w:val="7D7FE911"/>
    <w:rsid w:val="7DEFEBF3"/>
    <w:rsid w:val="7DF464C9"/>
    <w:rsid w:val="7E2C80AA"/>
    <w:rsid w:val="7EBF403E"/>
    <w:rsid w:val="7ED6E3C8"/>
    <w:rsid w:val="7EFE87F5"/>
    <w:rsid w:val="7F05EB37"/>
    <w:rsid w:val="7F5F7544"/>
    <w:rsid w:val="7F759948"/>
    <w:rsid w:val="7FB0D983"/>
    <w:rsid w:val="7FB71D67"/>
    <w:rsid w:val="7FF96011"/>
    <w:rsid w:val="7FFC316B"/>
    <w:rsid w:val="7FFFD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25E3E8"/>
  <w15:docId w15:val="{E4F8AB06-31ED-426C-89DF-946FDFAB6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仿宋" w:eastAsia="仿宋" w:hAnsiTheme="minorHAnsi" w:cs="Times New Roman (正文 CS 字体)"/>
      <w:kern w:val="2"/>
      <w:sz w:val="32"/>
      <w:szCs w:val="24"/>
    </w:rPr>
  </w:style>
  <w:style w:type="paragraph" w:styleId="1">
    <w:name w:val="heading 1"/>
    <w:basedOn w:val="a"/>
    <w:next w:val="a"/>
    <w:link w:val="10"/>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0"/>
    <w:unhideWhenUsed/>
    <w:qFormat/>
    <w:pPr>
      <w:keepNext/>
      <w:keepLines/>
      <w:spacing w:line="360" w:lineRule="auto"/>
      <w:ind w:firstLineChars="200" w:firstLine="880"/>
      <w:outlineLvl w:val="1"/>
    </w:pPr>
    <w:rPr>
      <w:rFonts w:ascii="Arial" w:eastAsia="仿宋_GB2312" w:hAnsi="Arial" w:cstheme="minorBidi"/>
      <w:b/>
      <w:szCs w:val="22"/>
    </w:rPr>
  </w:style>
  <w:style w:type="paragraph" w:styleId="3">
    <w:name w:val="heading 3"/>
    <w:basedOn w:val="a"/>
    <w:next w:val="a"/>
    <w:link w:val="30"/>
    <w:uiPriority w:val="9"/>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rFonts w:asciiTheme="minorHAnsi" w:eastAsiaTheme="minorEastAsia" w:cstheme="minorBidi"/>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unhideWhenUsed/>
    <w:qFormat/>
    <w:pPr>
      <w:keepNext/>
      <w:keepLines/>
      <w:spacing w:before="240" w:after="64" w:line="320" w:lineRule="auto"/>
      <w:outlineLvl w:val="6"/>
    </w:pPr>
    <w:rPr>
      <w:rFonts w:asciiTheme="minorHAnsi" w:eastAsiaTheme="minorEastAsia" w:cstheme="min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Pr>
      <w:b/>
      <w:bCs/>
    </w:rPr>
  </w:style>
  <w:style w:type="paragraph" w:styleId="a4">
    <w:name w:val="annotation text"/>
    <w:basedOn w:val="a"/>
    <w:link w:val="a6"/>
    <w:uiPriority w:val="99"/>
    <w:unhideWhenUsed/>
    <w:qFormat/>
    <w:pPr>
      <w:jc w:val="left"/>
    </w:pPr>
  </w:style>
  <w:style w:type="paragraph" w:styleId="a7">
    <w:name w:val="Body Text First Indent"/>
    <w:basedOn w:val="a8"/>
    <w:link w:val="a9"/>
    <w:uiPriority w:val="99"/>
    <w:unhideWhenUsed/>
    <w:qFormat/>
    <w:pPr>
      <w:ind w:firstLineChars="100" w:firstLine="420"/>
    </w:pPr>
    <w:rPr>
      <w:rFonts w:ascii="Calibri" w:eastAsia="宋体" w:hAnsi="Calibri" w:cs="Times New Roman"/>
      <w:szCs w:val="24"/>
    </w:rPr>
  </w:style>
  <w:style w:type="paragraph" w:styleId="a8">
    <w:name w:val="Body Text"/>
    <w:basedOn w:val="a"/>
    <w:link w:val="aa"/>
    <w:uiPriority w:val="99"/>
    <w:semiHidden/>
    <w:unhideWhenUsed/>
    <w:qFormat/>
    <w:pPr>
      <w:spacing w:after="120"/>
    </w:pPr>
    <w:rPr>
      <w:rFonts w:asciiTheme="minorHAnsi" w:eastAsiaTheme="minorEastAsia" w:cstheme="minorBidi"/>
      <w:sz w:val="21"/>
      <w:szCs w:val="22"/>
    </w:rPr>
  </w:style>
  <w:style w:type="paragraph" w:styleId="ab">
    <w:name w:val="caption"/>
    <w:basedOn w:val="a"/>
    <w:next w:val="a"/>
    <w:uiPriority w:val="35"/>
    <w:unhideWhenUsed/>
    <w:qFormat/>
    <w:rPr>
      <w:rFonts w:asciiTheme="majorHAnsi" w:eastAsia="黑体" w:hAnsiTheme="majorHAnsi" w:cstheme="majorBidi"/>
      <w:sz w:val="20"/>
      <w:szCs w:val="20"/>
    </w:rPr>
  </w:style>
  <w:style w:type="paragraph" w:styleId="TOC3">
    <w:name w:val="toc 3"/>
    <w:basedOn w:val="a"/>
    <w:next w:val="a"/>
    <w:uiPriority w:val="39"/>
    <w:unhideWhenUsed/>
    <w:qFormat/>
    <w:pPr>
      <w:tabs>
        <w:tab w:val="right" w:leader="dot" w:pos="8834"/>
      </w:tabs>
      <w:ind w:leftChars="400" w:left="840"/>
    </w:pPr>
    <w:rPr>
      <w:rFonts w:asciiTheme="minorHAnsi" w:eastAsiaTheme="minorEastAsia" w:cstheme="minorBidi"/>
      <w:sz w:val="21"/>
      <w:szCs w:val="22"/>
    </w:r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rFonts w:ascii="宋体" w:eastAsia="宋体"/>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Pr>
      <w:rFonts w:asciiTheme="minorHAnsi" w:eastAsiaTheme="minorEastAsia" w:cstheme="minorBidi"/>
      <w:sz w:val="21"/>
      <w:szCs w:val="22"/>
    </w:rPr>
  </w:style>
  <w:style w:type="paragraph" w:styleId="af4">
    <w:name w:val="footnote text"/>
    <w:basedOn w:val="a"/>
    <w:link w:val="af5"/>
    <w:uiPriority w:val="99"/>
    <w:semiHidden/>
    <w:unhideWhenUsed/>
    <w:qFormat/>
    <w:pPr>
      <w:snapToGrid w:val="0"/>
      <w:jc w:val="left"/>
    </w:pPr>
    <w:rPr>
      <w:sz w:val="18"/>
      <w:szCs w:val="18"/>
    </w:rPr>
  </w:style>
  <w:style w:type="paragraph" w:styleId="af6">
    <w:name w:val="table of figures"/>
    <w:basedOn w:val="a"/>
    <w:next w:val="a"/>
    <w:uiPriority w:val="99"/>
    <w:unhideWhenUsed/>
    <w:qFormat/>
    <w:pPr>
      <w:ind w:leftChars="200" w:left="200" w:hangingChars="200" w:hanging="200"/>
    </w:pPr>
    <w:rPr>
      <w:rFonts w:asciiTheme="minorHAnsi" w:eastAsiaTheme="minorEastAsia" w:cstheme="minorBidi"/>
      <w:sz w:val="21"/>
      <w:szCs w:val="22"/>
    </w:rPr>
  </w:style>
  <w:style w:type="paragraph" w:styleId="TOC2">
    <w:name w:val="toc 2"/>
    <w:basedOn w:val="a"/>
    <w:next w:val="a"/>
    <w:uiPriority w:val="39"/>
    <w:unhideWhenUsed/>
    <w:qFormat/>
    <w:pPr>
      <w:tabs>
        <w:tab w:val="right" w:leader="dot" w:pos="8834"/>
      </w:tabs>
      <w:spacing w:line="400" w:lineRule="exact"/>
      <w:ind w:leftChars="200" w:left="420"/>
    </w:pPr>
    <w:rPr>
      <w:rFonts w:asciiTheme="minorHAnsi" w:eastAsiaTheme="minorEastAsia" w:cstheme="minorBidi"/>
      <w:sz w:val="21"/>
      <w:szCs w:val="22"/>
    </w:rPr>
  </w:style>
  <w:style w:type="paragraph" w:styleId="af7">
    <w:name w:val="Title"/>
    <w:basedOn w:val="a"/>
    <w:next w:val="a"/>
    <w:link w:val="af8"/>
    <w:qFormat/>
    <w:pPr>
      <w:spacing w:line="560" w:lineRule="exact"/>
      <w:jc w:val="center"/>
      <w:outlineLvl w:val="0"/>
    </w:pPr>
    <w:rPr>
      <w:rFonts w:ascii="方正小标宋简体" w:eastAsia="方正小标宋简体" w:hAnsi="方正小标宋简体" w:cs="方正小标宋简体"/>
      <w:b/>
      <w:bCs/>
      <w:sz w:val="36"/>
      <w:szCs w:val="32"/>
    </w:rPr>
  </w:style>
  <w:style w:type="character" w:styleId="af9">
    <w:name w:val="Strong"/>
    <w:basedOn w:val="a0"/>
    <w:uiPriority w:val="22"/>
    <w:qFormat/>
    <w:rPr>
      <w:b/>
      <w:bCs/>
    </w:rPr>
  </w:style>
  <w:style w:type="character" w:styleId="afa">
    <w:name w:val="page number"/>
    <w:basedOn w:val="a0"/>
    <w:uiPriority w:val="99"/>
    <w:semiHidden/>
    <w:unhideWhenUsed/>
    <w:qFormat/>
  </w:style>
  <w:style w:type="character" w:styleId="afb">
    <w:name w:val="Emphasis"/>
    <w:basedOn w:val="a0"/>
    <w:uiPriority w:val="20"/>
    <w:qFormat/>
    <w:rPr>
      <w:i/>
      <w:iCs/>
    </w:rPr>
  </w:style>
  <w:style w:type="character" w:styleId="afc">
    <w:name w:val="Hyperlink"/>
    <w:basedOn w:val="a0"/>
    <w:uiPriority w:val="99"/>
    <w:unhideWhenUsed/>
    <w:qFormat/>
    <w:rPr>
      <w:color w:val="0000FF"/>
      <w:u w:val="single"/>
    </w:rPr>
  </w:style>
  <w:style w:type="character" w:styleId="afd">
    <w:name w:val="annotation reference"/>
    <w:basedOn w:val="a0"/>
    <w:uiPriority w:val="99"/>
    <w:semiHidden/>
    <w:unhideWhenUsed/>
    <w:qFormat/>
    <w:rPr>
      <w:sz w:val="21"/>
      <w:szCs w:val="21"/>
    </w:rPr>
  </w:style>
  <w:style w:type="character" w:styleId="afe">
    <w:name w:val="footnote reference"/>
    <w:basedOn w:val="a0"/>
    <w:uiPriority w:val="99"/>
    <w:semiHidden/>
    <w:unhideWhenUsed/>
    <w:qFormat/>
    <w:rPr>
      <w:vertAlign w:val="superscript"/>
    </w:r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宋体" w:hAnsi="宋体"/>
      <w:b/>
      <w:kern w:val="44"/>
      <w:sz w:val="48"/>
      <w:szCs w:val="48"/>
    </w:rPr>
  </w:style>
  <w:style w:type="character" w:customStyle="1" w:styleId="20">
    <w:name w:val="标题 2 字符"/>
    <w:basedOn w:val="a0"/>
    <w:link w:val="2"/>
    <w:qFormat/>
    <w:rPr>
      <w:rFonts w:ascii="Arial" w:eastAsia="仿宋_GB2312" w:hAnsi="Arial" w:cstheme="minorBidi"/>
      <w:b/>
      <w:kern w:val="2"/>
      <w:sz w:val="32"/>
      <w:szCs w:val="22"/>
    </w:rPr>
  </w:style>
  <w:style w:type="character" w:customStyle="1" w:styleId="30">
    <w:name w:val="标题 3 字符"/>
    <w:basedOn w:val="a0"/>
    <w:link w:val="3"/>
    <w:uiPriority w:val="9"/>
    <w:qFormat/>
    <w:rPr>
      <w:rFonts w:ascii="宋体" w:hAnsi="宋体"/>
      <w:b/>
      <w:sz w:val="27"/>
      <w:szCs w:val="27"/>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qFormat/>
    <w:rPr>
      <w:rFonts w:asciiTheme="minorHAnsi" w:eastAsiaTheme="minorEastAsia" w:hAnsiTheme="minorHAnsi" w:cstheme="minorBidi"/>
      <w:b/>
      <w:bCs/>
      <w:kern w:val="2"/>
      <w:sz w:val="28"/>
      <w:szCs w:val="28"/>
    </w:rPr>
  </w:style>
  <w:style w:type="character" w:customStyle="1" w:styleId="60">
    <w:name w:val="标题 6 字符"/>
    <w:basedOn w:val="a0"/>
    <w:link w:val="6"/>
    <w:uiPriority w:val="9"/>
    <w:qFormat/>
    <w:rPr>
      <w:rFonts w:asciiTheme="majorHAnsi" w:eastAsiaTheme="majorEastAsia" w:hAnsiTheme="majorHAnsi" w:cstheme="majorBidi"/>
      <w:b/>
      <w:bCs/>
      <w:kern w:val="2"/>
      <w:sz w:val="24"/>
      <w:szCs w:val="24"/>
    </w:rPr>
  </w:style>
  <w:style w:type="character" w:customStyle="1" w:styleId="70">
    <w:name w:val="标题 7 字符"/>
    <w:basedOn w:val="a0"/>
    <w:link w:val="7"/>
    <w:uiPriority w:val="9"/>
    <w:qFormat/>
    <w:rPr>
      <w:rFonts w:asciiTheme="minorHAnsi" w:eastAsiaTheme="minorEastAsia" w:hAnsiTheme="minorHAnsi" w:cstheme="minorBidi"/>
      <w:b/>
      <w:bCs/>
      <w:kern w:val="2"/>
      <w:sz w:val="24"/>
      <w:szCs w:val="24"/>
    </w:rPr>
  </w:style>
  <w:style w:type="character" w:customStyle="1" w:styleId="a6">
    <w:name w:val="批注文字 字符"/>
    <w:basedOn w:val="a0"/>
    <w:link w:val="a4"/>
    <w:uiPriority w:val="99"/>
    <w:qFormat/>
  </w:style>
  <w:style w:type="character" w:customStyle="1" w:styleId="ad">
    <w:name w:val="日期 字符"/>
    <w:basedOn w:val="a0"/>
    <w:link w:val="ac"/>
    <w:uiPriority w:val="99"/>
    <w:semiHidden/>
    <w:qFormat/>
  </w:style>
  <w:style w:type="character" w:customStyle="1" w:styleId="af">
    <w:name w:val="批注框文本 字符"/>
    <w:basedOn w:val="a0"/>
    <w:link w:val="ae"/>
    <w:uiPriority w:val="99"/>
    <w:semiHidden/>
    <w:qFormat/>
    <w:rPr>
      <w:rFonts w:ascii="宋体" w:eastAsia="宋体"/>
      <w:sz w:val="18"/>
      <w:szCs w:val="18"/>
    </w:rPr>
  </w:style>
  <w:style w:type="character" w:customStyle="1" w:styleId="af1">
    <w:name w:val="页脚 字符"/>
    <w:basedOn w:val="a0"/>
    <w:link w:val="af0"/>
    <w:uiPriority w:val="99"/>
    <w:qFormat/>
    <w:rPr>
      <w:sz w:val="18"/>
      <w:szCs w:val="18"/>
    </w:rPr>
  </w:style>
  <w:style w:type="character" w:customStyle="1" w:styleId="af3">
    <w:name w:val="页眉 字符"/>
    <w:basedOn w:val="a0"/>
    <w:link w:val="af2"/>
    <w:uiPriority w:val="99"/>
    <w:qFormat/>
    <w:rPr>
      <w:sz w:val="18"/>
      <w:szCs w:val="18"/>
    </w:rPr>
  </w:style>
  <w:style w:type="character" w:customStyle="1" w:styleId="af5">
    <w:name w:val="脚注文本 字符"/>
    <w:basedOn w:val="a0"/>
    <w:link w:val="af4"/>
    <w:uiPriority w:val="99"/>
    <w:semiHidden/>
    <w:qFormat/>
    <w:rPr>
      <w:sz w:val="18"/>
      <w:szCs w:val="18"/>
    </w:rPr>
  </w:style>
  <w:style w:type="character" w:customStyle="1" w:styleId="a5">
    <w:name w:val="批注主题 字符"/>
    <w:basedOn w:val="a6"/>
    <w:link w:val="a3"/>
    <w:uiPriority w:val="99"/>
    <w:semiHidden/>
    <w:qFormat/>
    <w:rPr>
      <w:b/>
      <w:bCs/>
    </w:rPr>
  </w:style>
  <w:style w:type="paragraph" w:styleId="aff0">
    <w:name w:val="List Paragraph"/>
    <w:basedOn w:val="a"/>
    <w:uiPriority w:val="34"/>
    <w:qFormat/>
    <w:pPr>
      <w:ind w:firstLineChars="200" w:firstLine="420"/>
    </w:pPr>
  </w:style>
  <w:style w:type="character" w:styleId="aff1">
    <w:name w:val="Placeholder Text"/>
    <w:basedOn w:val="a0"/>
    <w:uiPriority w:val="99"/>
    <w:semiHidden/>
    <w:qFormat/>
    <w:rPr>
      <w:color w:val="808080"/>
    </w:rPr>
  </w:style>
  <w:style w:type="paragraph" w:customStyle="1" w:styleId="11">
    <w:name w:val="修订1"/>
    <w:hidden/>
    <w:uiPriority w:val="99"/>
    <w:semiHidden/>
    <w:qFormat/>
    <w:rPr>
      <w:rFonts w:ascii="仿宋" w:eastAsia="仿宋" w:hAnsiTheme="minorHAnsi" w:cs="Times New Roman (正文 CS 字体)"/>
      <w:kern w:val="2"/>
      <w:sz w:val="32"/>
      <w:szCs w:val="24"/>
    </w:rPr>
  </w:style>
  <w:style w:type="paragraph" w:customStyle="1" w:styleId="21">
    <w:name w:val="修订2"/>
    <w:hidden/>
    <w:uiPriority w:val="99"/>
    <w:semiHidden/>
    <w:qFormat/>
    <w:rPr>
      <w:rFonts w:ascii="仿宋" w:eastAsia="仿宋" w:hAnsiTheme="minorHAnsi" w:cs="Times New Roman (正文 CS 字体)"/>
      <w:kern w:val="2"/>
      <w:sz w:val="32"/>
      <w:szCs w:val="24"/>
    </w:rPr>
  </w:style>
  <w:style w:type="paragraph" w:customStyle="1" w:styleId="zw">
    <w:name w:val="zw"/>
    <w:link w:val="zw0"/>
    <w:qFormat/>
    <w:pPr>
      <w:spacing w:line="360" w:lineRule="auto"/>
      <w:ind w:firstLineChars="200" w:firstLine="200"/>
      <w:jc w:val="both"/>
    </w:pPr>
    <w:rPr>
      <w:rFonts w:asciiTheme="minorEastAsia" w:eastAsiaTheme="minorEastAsia" w:hAnsiTheme="minorEastAsia" w:cstheme="minorEastAsia"/>
      <w:kern w:val="2"/>
      <w:sz w:val="28"/>
      <w:szCs w:val="24"/>
    </w:rPr>
  </w:style>
  <w:style w:type="character" w:customStyle="1" w:styleId="zw0">
    <w:name w:val="zw 字符"/>
    <w:basedOn w:val="a0"/>
    <w:link w:val="zw"/>
    <w:qFormat/>
    <w:rPr>
      <w:rFonts w:asciiTheme="minorEastAsia" w:eastAsiaTheme="minorEastAsia" w:hAnsiTheme="minorEastAsia" w:cstheme="minorEastAsia"/>
      <w:kern w:val="2"/>
      <w:sz w:val="28"/>
      <w:szCs w:val="24"/>
    </w:rPr>
  </w:style>
  <w:style w:type="paragraph" w:customStyle="1" w:styleId="31">
    <w:name w:val="修订3"/>
    <w:hidden/>
    <w:uiPriority w:val="99"/>
    <w:semiHidden/>
    <w:qFormat/>
    <w:rPr>
      <w:rFonts w:ascii="仿宋" w:eastAsia="仿宋" w:hAnsiTheme="minorHAnsi" w:cs="Times New Roman (正文 CS 字体)"/>
      <w:kern w:val="2"/>
      <w:sz w:val="32"/>
      <w:szCs w:val="24"/>
    </w:rPr>
  </w:style>
  <w:style w:type="character" w:customStyle="1" w:styleId="aa">
    <w:name w:val="正文文本 字符"/>
    <w:basedOn w:val="a0"/>
    <w:link w:val="a8"/>
    <w:uiPriority w:val="99"/>
    <w:semiHidden/>
    <w:qFormat/>
    <w:rPr>
      <w:rFonts w:asciiTheme="minorHAnsi" w:eastAsiaTheme="minorEastAsia" w:hAnsiTheme="minorHAnsi" w:cstheme="minorBidi"/>
      <w:kern w:val="2"/>
      <w:sz w:val="21"/>
      <w:szCs w:val="22"/>
    </w:rPr>
  </w:style>
  <w:style w:type="character" w:customStyle="1" w:styleId="a9">
    <w:name w:val="正文文本首行缩进 字符"/>
    <w:basedOn w:val="aa"/>
    <w:link w:val="a7"/>
    <w:uiPriority w:val="99"/>
    <w:qFormat/>
    <w:rPr>
      <w:rFonts w:ascii="Calibri" w:eastAsiaTheme="minorEastAsia" w:hAnsi="Calibri" w:cstheme="minorBidi"/>
      <w:kern w:val="2"/>
      <w:sz w:val="21"/>
      <w:szCs w:val="24"/>
    </w:rPr>
  </w:style>
  <w:style w:type="paragraph" w:customStyle="1" w:styleId="aff2">
    <w:name w:val="正文(新闻稿)"/>
    <w:link w:val="aff3"/>
    <w:qFormat/>
    <w:pPr>
      <w:spacing w:line="360" w:lineRule="auto"/>
      <w:ind w:firstLineChars="200" w:firstLine="200"/>
      <w:jc w:val="both"/>
    </w:pPr>
    <w:rPr>
      <w:rFonts w:eastAsiaTheme="minorEastAsia" w:cstheme="minorBidi"/>
      <w:kern w:val="2"/>
      <w:sz w:val="24"/>
      <w:szCs w:val="22"/>
    </w:rPr>
  </w:style>
  <w:style w:type="character" w:customStyle="1" w:styleId="aff3">
    <w:name w:val="正文(新闻稿) 字符"/>
    <w:basedOn w:val="a0"/>
    <w:link w:val="aff2"/>
    <w:qFormat/>
    <w:rPr>
      <w:rFonts w:eastAsiaTheme="minorEastAsia" w:cstheme="minorBidi"/>
      <w:kern w:val="2"/>
      <w:sz w:val="24"/>
      <w:szCs w:val="22"/>
    </w:rPr>
  </w:style>
  <w:style w:type="paragraph" w:customStyle="1" w:styleId="aff4">
    <w:name w:val="正文(标准)"/>
    <w:basedOn w:val="a"/>
    <w:link w:val="Char"/>
    <w:qFormat/>
    <w:pPr>
      <w:spacing w:line="360" w:lineRule="auto"/>
      <w:ind w:firstLineChars="200" w:firstLine="480"/>
    </w:pPr>
    <w:rPr>
      <w:rFonts w:ascii="Times New Roman" w:eastAsia="宋体" w:hAnsi="Times New Roman" w:cstheme="minorBidi"/>
      <w:sz w:val="24"/>
      <w:szCs w:val="22"/>
    </w:rPr>
  </w:style>
  <w:style w:type="character" w:customStyle="1" w:styleId="Char">
    <w:name w:val="正文(标准) Char"/>
    <w:link w:val="aff4"/>
    <w:qFormat/>
    <w:rPr>
      <w:rFonts w:cstheme="minorBidi"/>
      <w:kern w:val="2"/>
      <w:sz w:val="24"/>
      <w:szCs w:val="22"/>
    </w:rPr>
  </w:style>
  <w:style w:type="paragraph" w:customStyle="1" w:styleId="3a">
    <w:name w:val="标题(新闻稿)，3a"/>
    <w:next w:val="a"/>
    <w:link w:val="3a0"/>
    <w:qFormat/>
    <w:pPr>
      <w:numPr>
        <w:numId w:val="1"/>
      </w:numPr>
      <w:spacing w:before="100" w:beforeAutospacing="1" w:after="100" w:afterAutospacing="1"/>
      <w:outlineLvl w:val="2"/>
    </w:pPr>
    <w:rPr>
      <w:rFonts w:ascii="黑体" w:eastAsia="黑体" w:hAnsi="黑体"/>
      <w:bCs/>
      <w:sz w:val="24"/>
      <w:szCs w:val="28"/>
    </w:rPr>
  </w:style>
  <w:style w:type="character" w:customStyle="1" w:styleId="3a0">
    <w:name w:val="标题(新闻稿)，3a 字符"/>
    <w:basedOn w:val="a0"/>
    <w:link w:val="3a"/>
    <w:qFormat/>
    <w:rPr>
      <w:rFonts w:ascii="黑体" w:eastAsia="黑体" w:hAnsi="黑体"/>
      <w:bCs/>
      <w:sz w:val="24"/>
      <w:szCs w:val="28"/>
    </w:rPr>
  </w:style>
  <w:style w:type="paragraph" w:customStyle="1" w:styleId="title-">
    <w:name w:val="title-"/>
    <w:next w:val="zw"/>
    <w:link w:val="title-0"/>
    <w:qFormat/>
    <w:pPr>
      <w:spacing w:line="720" w:lineRule="auto"/>
      <w:jc w:val="center"/>
    </w:pPr>
    <w:rPr>
      <w:rFonts w:ascii="华文中宋" w:eastAsiaTheme="majorEastAsia" w:hAnsi="华文中宋" w:cs="华文中宋"/>
      <w:b/>
      <w:kern w:val="2"/>
      <w:sz w:val="48"/>
      <w:szCs w:val="36"/>
    </w:rPr>
  </w:style>
  <w:style w:type="character" w:customStyle="1" w:styleId="title-0">
    <w:name w:val="title- 字符"/>
    <w:basedOn w:val="a0"/>
    <w:link w:val="title-"/>
    <w:qFormat/>
    <w:rPr>
      <w:rFonts w:ascii="华文中宋" w:eastAsiaTheme="majorEastAsia" w:hAnsi="华文中宋" w:cs="华文中宋"/>
      <w:b/>
      <w:kern w:val="2"/>
      <w:sz w:val="48"/>
      <w:szCs w:val="36"/>
    </w:rPr>
  </w:style>
  <w:style w:type="paragraph" w:customStyle="1" w:styleId="face-company">
    <w:name w:val="face-company"/>
    <w:link w:val="face-company0"/>
    <w:qFormat/>
    <w:pPr>
      <w:spacing w:line="360" w:lineRule="auto"/>
      <w:jc w:val="center"/>
    </w:pPr>
    <w:rPr>
      <w:rFonts w:asciiTheme="minorEastAsia" w:eastAsiaTheme="minorEastAsia" w:hAnsiTheme="minorEastAsia" w:cstheme="minorEastAsia"/>
      <w:kern w:val="2"/>
      <w:sz w:val="36"/>
      <w:szCs w:val="24"/>
    </w:rPr>
  </w:style>
  <w:style w:type="character" w:customStyle="1" w:styleId="face-company0">
    <w:name w:val="face-company 字符"/>
    <w:basedOn w:val="a0"/>
    <w:link w:val="face-company"/>
    <w:qFormat/>
    <w:rPr>
      <w:rFonts w:asciiTheme="minorEastAsia" w:eastAsiaTheme="minorEastAsia" w:hAnsiTheme="minorEastAsia" w:cstheme="minorEastAsia"/>
      <w:kern w:val="2"/>
      <w:sz w:val="36"/>
      <w:szCs w:val="24"/>
    </w:rPr>
  </w:style>
  <w:style w:type="paragraph" w:customStyle="1" w:styleId="TOC10">
    <w:name w:val="TOC 标题1"/>
    <w:basedOn w:val="1"/>
    <w:next w:val="a"/>
    <w:uiPriority w:val="39"/>
    <w:unhideWhenUsed/>
    <w:qFormat/>
    <w:pPr>
      <w:keepNext/>
      <w:keepLines/>
      <w:widowControl/>
      <w:spacing w:before="240" w:beforeAutospacing="0" w:afterAutospacing="0" w:line="259" w:lineRule="auto"/>
      <w:outlineLvl w:val="9"/>
    </w:pPr>
    <w:rPr>
      <w:rFonts w:asciiTheme="majorHAnsi" w:eastAsiaTheme="majorEastAsia" w:hAnsiTheme="majorHAnsi" w:cstheme="majorBidi" w:hint="default"/>
      <w:b w:val="0"/>
      <w:color w:val="2F5496" w:themeColor="accent1" w:themeShade="BF"/>
      <w:kern w:val="0"/>
      <w:sz w:val="32"/>
      <w:szCs w:val="32"/>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xl65">
    <w:name w:val="xl65"/>
    <w:basedOn w:val="a"/>
    <w:qFormat/>
    <w:pPr>
      <w:widowControl/>
      <w:spacing w:before="100" w:beforeAutospacing="1" w:after="100" w:afterAutospacing="1"/>
      <w:jc w:val="left"/>
    </w:pPr>
    <w:rPr>
      <w:rFonts w:hAnsi="仿宋" w:cs="宋体"/>
      <w:kern w:val="0"/>
      <w:sz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宋体"/>
      <w:color w:val="000000"/>
      <w:kern w:val="0"/>
      <w:sz w:val="24"/>
    </w:rPr>
  </w:style>
  <w:style w:type="paragraph" w:customStyle="1" w:styleId="xl67">
    <w:name w:val="xl67"/>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xl69">
    <w:name w:val="xl69"/>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xl70">
    <w:name w:val="xl7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Ansi="仿宋" w:cs="宋体"/>
      <w:kern w:val="0"/>
      <w:sz w:val="24"/>
    </w:rPr>
  </w:style>
  <w:style w:type="paragraph" w:customStyle="1" w:styleId="xl71">
    <w:name w:val="xl71"/>
    <w:basedOn w:val="a"/>
    <w:qFormat/>
    <w:pPr>
      <w:widowControl/>
      <w:pBdr>
        <w:left w:val="single" w:sz="4" w:space="0" w:color="auto"/>
        <w:right w:val="single" w:sz="4" w:space="0" w:color="auto"/>
      </w:pBdr>
      <w:spacing w:before="100" w:beforeAutospacing="1" w:after="100" w:afterAutospacing="1"/>
      <w:jc w:val="center"/>
      <w:textAlignment w:val="center"/>
    </w:pPr>
    <w:rPr>
      <w:rFonts w:hAnsi="仿宋" w:cs="宋体"/>
      <w:kern w:val="0"/>
      <w:sz w:val="24"/>
    </w:rPr>
  </w:style>
  <w:style w:type="paragraph" w:customStyle="1" w:styleId="xl72">
    <w:name w:val="xl7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hAnsi="仿宋" w:cs="宋体"/>
      <w:kern w:val="0"/>
      <w:sz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hAnsi="仿宋" w:cs="宋体"/>
      <w:color w:val="000000"/>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宋体"/>
      <w:color w:val="000000"/>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宋体"/>
      <w:color w:val="000000"/>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宋体"/>
      <w:b/>
      <w:bCs/>
      <w:color w:val="000000"/>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hAnsi="仿宋" w:cs="宋体"/>
      <w:b/>
      <w:bCs/>
      <w:color w:val="000000"/>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hAnsi="仿宋"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hAnsi="仿宋" w:cs="宋体"/>
      <w:kern w:val="0"/>
      <w:sz w:val="24"/>
    </w:rPr>
  </w:style>
  <w:style w:type="paragraph" w:customStyle="1" w:styleId="xl83">
    <w:name w:val="xl8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hAnsi="仿宋" w:cs="宋体"/>
      <w:color w:val="000000"/>
      <w:kern w:val="0"/>
      <w:sz w:val="24"/>
    </w:rPr>
  </w:style>
  <w:style w:type="paragraph" w:customStyle="1" w:styleId="xl84">
    <w:name w:val="xl84"/>
    <w:basedOn w:val="a"/>
    <w:qFormat/>
    <w:pPr>
      <w:widowControl/>
      <w:pBdr>
        <w:left w:val="single" w:sz="4" w:space="0" w:color="auto"/>
        <w:right w:val="single" w:sz="4" w:space="0" w:color="auto"/>
      </w:pBdr>
      <w:spacing w:before="100" w:beforeAutospacing="1" w:after="100" w:afterAutospacing="1"/>
      <w:jc w:val="center"/>
      <w:textAlignment w:val="top"/>
    </w:pPr>
    <w:rPr>
      <w:rFonts w:hAnsi="仿宋" w:cs="宋体"/>
      <w:color w:val="000000"/>
      <w:kern w:val="0"/>
      <w:sz w:val="24"/>
    </w:rPr>
  </w:style>
  <w:style w:type="paragraph" w:customStyle="1" w:styleId="xl85">
    <w:name w:val="xl8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hAnsi="仿宋" w:cs="宋体"/>
      <w:color w:val="00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宋体"/>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宋体"/>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宋体"/>
      <w:kern w:val="0"/>
      <w:sz w:val="24"/>
    </w:rPr>
  </w:style>
  <w:style w:type="paragraph" w:customStyle="1" w:styleId="xl89">
    <w:name w:val="xl8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hAnsi="仿宋" w:cs="宋体"/>
      <w:kern w:val="0"/>
      <w:sz w:val="24"/>
    </w:rPr>
  </w:style>
  <w:style w:type="paragraph" w:customStyle="1" w:styleId="xl90">
    <w:name w:val="xl90"/>
    <w:basedOn w:val="a"/>
    <w:qFormat/>
    <w:pPr>
      <w:widowControl/>
      <w:pBdr>
        <w:left w:val="single" w:sz="4" w:space="0" w:color="auto"/>
        <w:right w:val="single" w:sz="4" w:space="0" w:color="auto"/>
      </w:pBdr>
      <w:spacing w:before="100" w:beforeAutospacing="1" w:after="100" w:afterAutospacing="1"/>
      <w:jc w:val="center"/>
      <w:textAlignment w:val="top"/>
    </w:pPr>
    <w:rPr>
      <w:rFonts w:hAnsi="仿宋" w:cs="宋体"/>
      <w:kern w:val="0"/>
      <w:sz w:val="24"/>
    </w:rPr>
  </w:style>
  <w:style w:type="paragraph" w:customStyle="1" w:styleId="xl91">
    <w:name w:val="xl9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hAnsi="仿宋" w:cs="宋体"/>
      <w:kern w:val="0"/>
      <w:sz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宋体"/>
      <w:kern w:val="0"/>
      <w:sz w:val="24"/>
    </w:rPr>
  </w:style>
  <w:style w:type="paragraph" w:customStyle="1" w:styleId="xl96">
    <w:name w:val="xl96"/>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hAnsi="仿宋" w:cs="宋体"/>
      <w:kern w:val="0"/>
      <w:sz w:val="24"/>
    </w:rPr>
  </w:style>
  <w:style w:type="paragraph" w:customStyle="1" w:styleId="xl97">
    <w:name w:val="xl97"/>
    <w:basedOn w:val="a"/>
    <w:qFormat/>
    <w:pPr>
      <w:widowControl/>
      <w:pBdr>
        <w:top w:val="single" w:sz="4" w:space="0" w:color="auto"/>
        <w:bottom w:val="single" w:sz="4" w:space="0" w:color="auto"/>
      </w:pBdr>
      <w:spacing w:before="100" w:beforeAutospacing="1" w:after="100" w:afterAutospacing="1"/>
      <w:jc w:val="left"/>
      <w:textAlignment w:val="top"/>
    </w:pPr>
    <w:rPr>
      <w:rFonts w:hAnsi="仿宋" w:cs="宋体"/>
      <w:kern w:val="0"/>
      <w:sz w:val="24"/>
    </w:rPr>
  </w:style>
  <w:style w:type="paragraph" w:customStyle="1" w:styleId="xl98">
    <w:name w:val="xl98"/>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hAnsi="仿宋" w:cs="宋体"/>
      <w:kern w:val="0"/>
      <w:sz w:val="24"/>
    </w:rPr>
  </w:style>
  <w:style w:type="paragraph" w:customStyle="1" w:styleId="aff5">
    <w:name w:val="段"/>
    <w:qFormat/>
    <w:pPr>
      <w:autoSpaceDE w:val="0"/>
      <w:autoSpaceDN w:val="0"/>
      <w:ind w:firstLineChars="200" w:firstLine="200"/>
      <w:jc w:val="both"/>
    </w:pPr>
    <w:rPr>
      <w:rFonts w:ascii="宋体" w:hAnsi="Calibri"/>
      <w:sz w:val="21"/>
    </w:rPr>
  </w:style>
  <w:style w:type="paragraph" w:customStyle="1" w:styleId="font6">
    <w:name w:val="font6"/>
    <w:basedOn w:val="a"/>
    <w:qFormat/>
    <w:pPr>
      <w:widowControl/>
      <w:spacing w:before="100" w:beforeAutospacing="1" w:after="100" w:afterAutospacing="1"/>
      <w:jc w:val="left"/>
    </w:pPr>
    <w:rPr>
      <w:rFonts w:ascii="仿宋_GB2312" w:eastAsia="仿宋_GB2312" w:hAnsi="宋体" w:cs="宋体"/>
      <w:kern w:val="0"/>
      <w:sz w:val="28"/>
      <w:szCs w:val="28"/>
    </w:rPr>
  </w:style>
  <w:style w:type="paragraph" w:customStyle="1" w:styleId="font7">
    <w:name w:val="font7"/>
    <w:basedOn w:val="a"/>
    <w:qFormat/>
    <w:pPr>
      <w:widowControl/>
      <w:spacing w:before="100" w:beforeAutospacing="1" w:after="100" w:afterAutospacing="1"/>
      <w:jc w:val="left"/>
    </w:pPr>
    <w:rPr>
      <w:rFonts w:ascii="仿宋_GB2312" w:eastAsia="仿宋_GB2312" w:hAnsi="宋体" w:cs="宋体"/>
      <w:color w:val="FF0000"/>
      <w:kern w:val="0"/>
      <w:sz w:val="20"/>
      <w:szCs w:val="20"/>
    </w:rPr>
  </w:style>
  <w:style w:type="paragraph" w:customStyle="1" w:styleId="font8">
    <w:name w:val="font8"/>
    <w:basedOn w:val="a"/>
    <w:qFormat/>
    <w:pPr>
      <w:widowControl/>
      <w:spacing w:before="100" w:beforeAutospacing="1" w:after="100" w:afterAutospacing="1"/>
      <w:jc w:val="left"/>
    </w:pPr>
    <w:rPr>
      <w:rFonts w:ascii="仿宋_GB2312" w:eastAsia="仿宋_GB2312" w:hAnsi="宋体" w:cs="宋体"/>
      <w:b/>
      <w:bCs/>
      <w:color w:val="000000"/>
      <w:kern w:val="0"/>
      <w:sz w:val="20"/>
      <w:szCs w:val="20"/>
    </w:rPr>
  </w:style>
  <w:style w:type="paragraph" w:customStyle="1" w:styleId="xl64">
    <w:name w:val="xl64"/>
    <w:basedOn w:val="a"/>
    <w:qFormat/>
    <w:pPr>
      <w:widowControl/>
      <w:spacing w:before="100" w:beforeAutospacing="1" w:after="100" w:afterAutospacing="1"/>
      <w:jc w:val="center"/>
      <w:textAlignment w:val="center"/>
    </w:pPr>
    <w:rPr>
      <w:rFonts w:ascii="宋体" w:eastAsia="宋体" w:hAnsi="宋体" w:cs="宋体"/>
      <w:kern w:val="0"/>
      <w:sz w:val="24"/>
    </w:rPr>
  </w:style>
  <w:style w:type="character" w:customStyle="1" w:styleId="af8">
    <w:name w:val="标题 字符"/>
    <w:basedOn w:val="a0"/>
    <w:link w:val="af7"/>
    <w:qFormat/>
    <w:rPr>
      <w:rFonts w:ascii="方正小标宋简体" w:eastAsia="方正小标宋简体" w:hAnsi="方正小标宋简体" w:cs="方正小标宋简体"/>
      <w:b/>
      <w:bCs/>
      <w:kern w:val="2"/>
      <w:sz w:val="36"/>
      <w:szCs w:val="32"/>
    </w:rPr>
  </w:style>
  <w:style w:type="paragraph" w:customStyle="1" w:styleId="41">
    <w:name w:val="修订4"/>
    <w:hidden/>
    <w:uiPriority w:val="99"/>
    <w:semiHidden/>
    <w:qFormat/>
    <w:rPr>
      <w:rFonts w:ascii="仿宋" w:eastAsia="仿宋" w:hAnsiTheme="minorHAnsi" w:cs="Times New Roman (正文 CS 字体)"/>
      <w:kern w:val="2"/>
      <w:sz w:val="32"/>
      <w:szCs w:val="24"/>
    </w:rPr>
  </w:style>
  <w:style w:type="paragraph" w:customStyle="1" w:styleId="51">
    <w:name w:val="修订5"/>
    <w:hidden/>
    <w:uiPriority w:val="99"/>
    <w:semiHidden/>
    <w:qFormat/>
    <w:rPr>
      <w:rFonts w:ascii="仿宋" w:eastAsia="仿宋" w:hAnsiTheme="minorHAnsi" w:cs="Times New Roman (正文 CS 字体)"/>
      <w:kern w:val="2"/>
      <w:sz w:val="32"/>
      <w:szCs w:val="24"/>
    </w:rPr>
  </w:style>
  <w:style w:type="character" w:customStyle="1" w:styleId="12">
    <w:name w:val="未处理的提及1"/>
    <w:basedOn w:val="a0"/>
    <w:uiPriority w:val="99"/>
    <w:semiHidden/>
    <w:unhideWhenUsed/>
    <w:qFormat/>
    <w:rPr>
      <w:color w:val="605E5C"/>
      <w:shd w:val="clear" w:color="auto" w:fill="E1DFDD"/>
    </w:rPr>
  </w:style>
  <w:style w:type="paragraph" w:customStyle="1" w:styleId="61">
    <w:name w:val="修订6"/>
    <w:hidden/>
    <w:uiPriority w:val="99"/>
    <w:semiHidden/>
    <w:qFormat/>
    <w:rPr>
      <w:rFonts w:ascii="仿宋" w:eastAsia="仿宋" w:hAnsiTheme="minorHAnsi" w:cs="Times New Roman (正文 CS 字体)"/>
      <w:kern w:val="2"/>
      <w:sz w:val="32"/>
      <w:szCs w:val="24"/>
    </w:rPr>
  </w:style>
  <w:style w:type="paragraph" w:customStyle="1" w:styleId="71">
    <w:name w:val="修订7"/>
    <w:hidden/>
    <w:uiPriority w:val="99"/>
    <w:semiHidden/>
    <w:qFormat/>
    <w:rPr>
      <w:rFonts w:ascii="仿宋" w:eastAsia="仿宋" w:hAnsiTheme="minorHAnsi" w:cs="Times New Roman (正文 CS 字体)"/>
      <w:kern w:val="2"/>
      <w:sz w:val="32"/>
      <w:szCs w:val="24"/>
    </w:rPr>
  </w:style>
  <w:style w:type="table" w:customStyle="1" w:styleId="13">
    <w:name w:val="网格型1"/>
    <w:basedOn w:val="a1"/>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修订8"/>
    <w:hidden/>
    <w:uiPriority w:val="99"/>
    <w:semiHidden/>
    <w:qFormat/>
    <w:rPr>
      <w:rFonts w:ascii="仿宋" w:eastAsia="仿宋" w:hAnsiTheme="minorHAnsi" w:cs="Times New Roman (正文 CS 字体)"/>
      <w:kern w:val="2"/>
      <w:sz w:val="32"/>
      <w:szCs w:val="24"/>
    </w:rPr>
  </w:style>
  <w:style w:type="paragraph" w:customStyle="1" w:styleId="9">
    <w:name w:val="修订9"/>
    <w:hidden/>
    <w:uiPriority w:val="99"/>
    <w:semiHidden/>
    <w:qFormat/>
    <w:rPr>
      <w:rFonts w:ascii="仿宋" w:eastAsia="仿宋" w:hAnsiTheme="minorHAnsi" w:cs="Times New Roman (正文 CS 字体)"/>
      <w:kern w:val="2"/>
      <w:sz w:val="32"/>
      <w:szCs w:val="24"/>
    </w:rPr>
  </w:style>
  <w:style w:type="paragraph" w:customStyle="1" w:styleId="100">
    <w:name w:val="修订10"/>
    <w:hidden/>
    <w:uiPriority w:val="99"/>
    <w:semiHidden/>
    <w:qFormat/>
    <w:rPr>
      <w:rFonts w:ascii="仿宋" w:eastAsia="仿宋" w:hAnsiTheme="minorHAnsi" w:cs="Times New Roman (正文 CS 字体)"/>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666</Words>
  <Characters>3797</Characters>
  <Application>Microsoft Office Word</Application>
  <DocSecurity>0</DocSecurity>
  <Lines>31</Lines>
  <Paragraphs>8</Paragraphs>
  <ScaleCrop>false</ScaleCrop>
  <Company>神州网信技术有限公司</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SIYU</dc:creator>
  <cp:lastModifiedBy>宝 笛</cp:lastModifiedBy>
  <cp:revision>14</cp:revision>
  <cp:lastPrinted>2022-08-04T00:03:00Z</cp:lastPrinted>
  <dcterms:created xsi:type="dcterms:W3CDTF">2022-07-24T12:51:00Z</dcterms:created>
  <dcterms:modified xsi:type="dcterms:W3CDTF">2024-03-04T03:06:00Z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2052-10.1.0.7411</vt:lpwstr>
  </property>
  <property fmtid="{D5CDD505-2E9C-101B-9397-08002B2CF9AE}" pid="3" name="ICV">
    <vt:lpwstr>B165227B1E3644CE9AFF46A2DF0FE4FC</vt:lpwstr>
  </property>
  <property fmtid="{D5CDD505-2E9C-101B-9397-08002B2CF9AE}" pid="4" name="KSOSaveFontToCloudKey">
    <vt:lpwstr>440459247_embed</vt:lpwstr>
  </property>
</Properties>
</file>