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7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700" w:lineRule="exact"/>
        <w:textAlignment w:val="auto"/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70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关于《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渝北区促进软件和信息服务业高质量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70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发展十条措施（修订稿）</w:t>
      </w:r>
      <w:r>
        <w:rPr>
          <w:rFonts w:ascii="Times New Roman" w:hAnsi="Times New Roman" w:eastAsia="方正小标宋_GBK" w:cs="Times New Roman"/>
          <w:sz w:val="44"/>
          <w:szCs w:val="44"/>
        </w:rPr>
        <w:t>》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的制定</w:t>
      </w:r>
      <w:r>
        <w:rPr>
          <w:rFonts w:ascii="Times New Roman" w:hAnsi="Times New Roman" w:eastAsia="方正小标宋_GBK" w:cs="Times New Roman"/>
          <w:sz w:val="44"/>
          <w:szCs w:val="44"/>
        </w:rPr>
        <w:t>说明</w:t>
      </w:r>
    </w:p>
    <w:p>
      <w:pPr>
        <w:pStyle w:val="14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方正楷体_GBK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一、文件制定背景</w:t>
      </w:r>
      <w:r>
        <w:rPr>
          <w:rFonts w:hint="eastAsia" w:ascii="Times New Roman" w:hAnsi="Times New Roman" w:eastAsia="方正黑体_GBK"/>
          <w:sz w:val="32"/>
          <w:szCs w:val="32"/>
        </w:rPr>
        <w:t>和</w:t>
      </w:r>
      <w:r>
        <w:rPr>
          <w:rFonts w:ascii="Times New Roman" w:hAnsi="Times New Roman" w:eastAsia="方正黑体_GBK"/>
          <w:sz w:val="32"/>
          <w:szCs w:val="32"/>
        </w:rPr>
        <w:t>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2022年7月15日，市政府办公厅印发了《关于印发重庆市软件和信息服务业“满天星”行动计划（2022-2025年）的通知》（渝府办发〔2022〕21号）。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为深入贯彻落实该文件精神，进一步</w:t>
      </w:r>
      <w:r>
        <w:rPr>
          <w:rFonts w:hint="eastAsia" w:ascii="Times New Roman" w:hAnsi="Times New Roman" w:eastAsia="方正仿宋_GBK"/>
          <w:sz w:val="32"/>
          <w:szCs w:val="32"/>
        </w:rPr>
        <w:t>助推渝北区制造业转型升级，加快</w:t>
      </w:r>
      <w:r>
        <w:rPr>
          <w:rFonts w:hint="eastAsia" w:eastAsia="方正仿宋_GBK" w:cs="方正仿宋_GBK"/>
          <w:sz w:val="32"/>
          <w:szCs w:val="32"/>
        </w:rPr>
        <w:t>打造千亿级软信产业集群，争创中国软件名园</w:t>
      </w:r>
      <w:r>
        <w:rPr>
          <w:rFonts w:hint="eastAsia" w:ascii="Times New Roman" w:hAnsi="Times New Roman" w:eastAsia="方正仿宋_GBK"/>
          <w:sz w:val="32"/>
          <w:szCs w:val="32"/>
        </w:rPr>
        <w:t>，形成软件和信息服务业“满天星”发展态势，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结合我区实际情况，</w:t>
      </w:r>
      <w:r>
        <w:rPr>
          <w:rFonts w:hint="eastAsia" w:ascii="Times New Roman" w:hAnsi="Times New Roman" w:eastAsia="方正仿宋_GBK"/>
          <w:sz w:val="32"/>
          <w:szCs w:val="32"/>
        </w:rPr>
        <w:t>我委起草了《渝北区促进软件和信息服务业高质量发展十条措施（修订稿）》（以下简称“十条措施”）。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二</w:t>
      </w:r>
      <w:r>
        <w:rPr>
          <w:rFonts w:ascii="Times New Roman" w:hAnsi="Times New Roman" w:eastAsia="方正黑体_GBK"/>
          <w:sz w:val="32"/>
          <w:szCs w:val="32"/>
        </w:rPr>
        <w:t>、文件</w:t>
      </w:r>
      <w:r>
        <w:rPr>
          <w:rFonts w:hint="eastAsia" w:ascii="Times New Roman" w:hAnsi="Times New Roman" w:eastAsia="方正黑体_GBK"/>
          <w:sz w:val="32"/>
          <w:szCs w:val="32"/>
        </w:rPr>
        <w:t>制定过程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（一）起草单位：重庆市渝北区经济和信息化委员会。</w:t>
      </w:r>
    </w:p>
    <w:p>
      <w:pPr>
        <w:pStyle w:val="12"/>
        <w:spacing w:line="560" w:lineRule="exact"/>
        <w:ind w:firstLine="640" w:firstLineChars="200"/>
        <w:jc w:val="both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（二）征求意见情况</w:t>
      </w:r>
      <w:r>
        <w:rPr>
          <w:rFonts w:hint="eastAsia" w:ascii="Times New Roman" w:hAnsi="Times New Roman" w:eastAsia="方正仿宋_GBK"/>
          <w:sz w:val="32"/>
          <w:szCs w:val="32"/>
        </w:rPr>
        <w:t>：1</w:t>
      </w:r>
      <w:r>
        <w:rPr>
          <w:rFonts w:ascii="Times New Roman" w:hAnsi="Times New Roman" w:eastAsia="方正仿宋_GBK"/>
          <w:sz w:val="32"/>
          <w:szCs w:val="32"/>
        </w:rPr>
        <w:t>月1</w:t>
      </w:r>
      <w:r>
        <w:rPr>
          <w:rFonts w:hint="eastAsia" w:ascii="Times New Roman" w:hAnsi="Times New Roman" w:eastAsia="方正仿宋_GBK"/>
          <w:sz w:val="32"/>
          <w:szCs w:val="32"/>
        </w:rPr>
        <w:t>6</w:t>
      </w:r>
      <w:r>
        <w:rPr>
          <w:rFonts w:ascii="Times New Roman" w:hAnsi="Times New Roman" w:eastAsia="方正仿宋_GBK"/>
          <w:sz w:val="32"/>
          <w:szCs w:val="32"/>
        </w:rPr>
        <w:t>日，我委</w:t>
      </w:r>
      <w:r>
        <w:rPr>
          <w:rFonts w:hint="eastAsia" w:ascii="Times New Roman" w:hAnsi="Times New Roman" w:eastAsia="方正仿宋_GBK"/>
          <w:sz w:val="32"/>
          <w:szCs w:val="32"/>
        </w:rPr>
        <w:t>第3次</w:t>
      </w:r>
      <w:r>
        <w:rPr>
          <w:rFonts w:ascii="Times New Roman" w:hAnsi="Times New Roman" w:eastAsia="方正仿宋_GBK"/>
          <w:sz w:val="32"/>
          <w:szCs w:val="32"/>
        </w:rPr>
        <w:t>书面向区科技局、区财政局等</w:t>
      </w:r>
      <w:r>
        <w:rPr>
          <w:rFonts w:hint="eastAsia" w:ascii="Times New Roman" w:hAnsi="Times New Roman" w:eastAsia="方正仿宋_GBK"/>
          <w:sz w:val="32"/>
          <w:szCs w:val="32"/>
        </w:rPr>
        <w:t>11</w:t>
      </w:r>
      <w:r>
        <w:rPr>
          <w:rFonts w:ascii="Times New Roman" w:hAnsi="Times New Roman" w:eastAsia="方正仿宋_GBK"/>
          <w:sz w:val="32"/>
          <w:szCs w:val="32"/>
        </w:rPr>
        <w:t>个部门征求意见，其中</w:t>
      </w:r>
      <w:r>
        <w:rPr>
          <w:rFonts w:hint="eastAsia" w:ascii="Times New Roman" w:hAnsi="Times New Roman" w:eastAsia="方正仿宋_GBK"/>
          <w:sz w:val="32"/>
          <w:szCs w:val="32"/>
        </w:rPr>
        <w:t>区临空办、区人社局、创新经济走廊、空港经济公司4个部门反馈无意见；区财政局、区大数据发展局2个部门提出6条意见，均已采纳；</w:t>
      </w:r>
      <w:r>
        <w:rPr>
          <w:rFonts w:ascii="Times New Roman" w:hAnsi="Times New Roman" w:eastAsia="方正仿宋_GBK"/>
          <w:sz w:val="32"/>
          <w:szCs w:val="32"/>
        </w:rPr>
        <w:t>区</w:t>
      </w:r>
      <w:r>
        <w:rPr>
          <w:rFonts w:hint="eastAsia" w:ascii="Times New Roman" w:hAnsi="Times New Roman" w:eastAsia="方正仿宋_GBK"/>
          <w:sz w:val="32"/>
          <w:szCs w:val="32"/>
        </w:rPr>
        <w:t>金融办</w:t>
      </w:r>
      <w:r>
        <w:rPr>
          <w:rFonts w:ascii="Times New Roman" w:hAnsi="Times New Roman" w:eastAsia="方正仿宋_GBK"/>
          <w:sz w:val="32"/>
          <w:szCs w:val="32"/>
        </w:rPr>
        <w:t>等</w:t>
      </w:r>
      <w:r>
        <w:rPr>
          <w:rFonts w:hint="eastAsia" w:ascii="Times New Roman" w:hAnsi="Times New Roman" w:eastAsia="方正仿宋_GBK"/>
          <w:sz w:val="32"/>
          <w:szCs w:val="32"/>
        </w:rPr>
        <w:t>5</w:t>
      </w:r>
      <w:r>
        <w:rPr>
          <w:rFonts w:ascii="Times New Roman" w:hAnsi="Times New Roman" w:eastAsia="方正仿宋_GBK"/>
          <w:sz w:val="32"/>
          <w:szCs w:val="32"/>
        </w:rPr>
        <w:t>个部门逾期未反馈，视为无意见。具体详见附件</w:t>
      </w:r>
      <w:r>
        <w:rPr>
          <w:rFonts w:hint="eastAsia" w:ascii="Times New Roman" w:hAnsi="Times New Roman" w:eastAsia="方正仿宋_GBK"/>
          <w:sz w:val="32"/>
          <w:szCs w:val="32"/>
        </w:rPr>
        <w:t>2-1。</w:t>
      </w:r>
    </w:p>
    <w:p>
      <w:pPr>
        <w:pStyle w:val="12"/>
        <w:spacing w:line="560" w:lineRule="exact"/>
        <w:ind w:firstLine="640" w:firstLineChars="200"/>
        <w:jc w:val="both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</w:rPr>
        <w:t>29</w:t>
      </w:r>
      <w:r>
        <w:rPr>
          <w:rFonts w:ascii="Times New Roman" w:hAnsi="Times New Roman" w:eastAsia="方正仿宋_GBK"/>
          <w:sz w:val="32"/>
          <w:szCs w:val="32"/>
        </w:rPr>
        <w:t>日，我委向</w:t>
      </w:r>
      <w:r>
        <w:rPr>
          <w:rFonts w:hint="eastAsia" w:ascii="Times New Roman" w:hAnsi="Times New Roman" w:eastAsia="方正仿宋_GBK"/>
          <w:sz w:val="32"/>
          <w:szCs w:val="32"/>
        </w:rPr>
        <w:t>软件信息服务业</w:t>
      </w:r>
      <w:r>
        <w:rPr>
          <w:rFonts w:ascii="Times New Roman" w:hAnsi="Times New Roman" w:eastAsia="方正仿宋_GBK"/>
          <w:sz w:val="32"/>
          <w:szCs w:val="32"/>
        </w:rPr>
        <w:t>企业代表（</w:t>
      </w:r>
      <w:r>
        <w:rPr>
          <w:rFonts w:hint="eastAsia" w:ascii="Times New Roman" w:hAnsi="Times New Roman" w:eastAsia="方正仿宋_GBK"/>
          <w:sz w:val="32"/>
          <w:szCs w:val="32"/>
        </w:rPr>
        <w:t>长安软件</w:t>
      </w:r>
      <w:r>
        <w:rPr>
          <w:rFonts w:ascii="Times New Roman" w:hAnsi="Times New Roman" w:eastAsia="方正仿宋_GBK"/>
          <w:sz w:val="32"/>
          <w:szCs w:val="32"/>
        </w:rPr>
        <w:t>、</w:t>
      </w:r>
      <w:r>
        <w:rPr>
          <w:rFonts w:hint="eastAsia" w:ascii="Times New Roman" w:hAnsi="Times New Roman" w:eastAsia="方正仿宋_GBK"/>
          <w:sz w:val="32"/>
          <w:szCs w:val="32"/>
        </w:rPr>
        <w:t>城银科技、中科创达、立信数据、奥莫软件</w:t>
      </w:r>
      <w:r>
        <w:rPr>
          <w:rFonts w:ascii="Times New Roman" w:hAnsi="Times New Roman" w:eastAsia="方正仿宋_GBK"/>
          <w:sz w:val="32"/>
          <w:szCs w:val="32"/>
        </w:rPr>
        <w:t>）</w:t>
      </w:r>
      <w:r>
        <w:rPr>
          <w:rFonts w:hint="eastAsia" w:ascii="Times New Roman" w:hAnsi="Times New Roman" w:eastAsia="方正仿宋_GBK"/>
          <w:sz w:val="32"/>
          <w:szCs w:val="32"/>
        </w:rPr>
        <w:t>及重庆市软件行业协会书面</w:t>
      </w:r>
      <w:r>
        <w:rPr>
          <w:rFonts w:ascii="Times New Roman" w:hAnsi="Times New Roman" w:eastAsia="方正仿宋_GBK"/>
          <w:sz w:val="32"/>
          <w:szCs w:val="32"/>
        </w:rPr>
        <w:t>征求意见，6家单位回复无意见。</w:t>
      </w:r>
    </w:p>
    <w:p>
      <w:pPr>
        <w:pStyle w:val="12"/>
        <w:spacing w:line="56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1月31日，我委公开向社会征求意见，共收到国盛IEC提出1条意见，予以采纳，具体详见附件2-1。</w:t>
      </w:r>
    </w:p>
    <w:p>
      <w:pPr>
        <w:pStyle w:val="12"/>
        <w:spacing w:line="560" w:lineRule="exact"/>
        <w:ind w:firstLine="640" w:firstLineChars="200"/>
        <w:jc w:val="both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（三）公平竞争审查情况及结论：经我委审查科室审查，该文件未违反公平竞争相关标准。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三、文件主要内容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方正楷体_GBK" w:hAnsi="Times New Roman" w:eastAsia="方正楷体_GBK"/>
          <w:sz w:val="32"/>
          <w:szCs w:val="32"/>
        </w:rPr>
      </w:pPr>
      <w:r>
        <w:rPr>
          <w:rFonts w:hint="eastAsia" w:ascii="方正楷体_GBK" w:hAnsi="Times New Roman" w:eastAsia="方正楷体_GBK"/>
          <w:sz w:val="32"/>
          <w:szCs w:val="32"/>
        </w:rPr>
        <w:t>（一）对文件的主要内容、重要制度设计进行简要描述。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《十条措施》紧紧围绕衡华市长提出的抓生态、</w:t>
      </w:r>
      <w:r>
        <w:rPr>
          <w:rFonts w:ascii="方正仿宋_GBK" w:hAnsi="方正仿宋_GBK" w:eastAsia="方正仿宋_GBK" w:cs="方正仿宋_GBK"/>
          <w:sz w:val="32"/>
          <w:szCs w:val="32"/>
        </w:rPr>
        <w:t>抓场所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ascii="方正仿宋_GBK" w:hAnsi="方正仿宋_GBK" w:eastAsia="方正仿宋_GBK" w:cs="方正仿宋_GBK"/>
          <w:sz w:val="32"/>
          <w:szCs w:val="32"/>
        </w:rPr>
        <w:t>抓场景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ascii="方正仿宋_GBK" w:hAnsi="方正仿宋_GBK" w:eastAsia="方正仿宋_GBK" w:cs="方正仿宋_GBK"/>
          <w:sz w:val="32"/>
          <w:szCs w:val="32"/>
        </w:rPr>
        <w:t>抓企业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ascii="方正仿宋_GBK" w:hAnsi="方正仿宋_GBK" w:eastAsia="方正仿宋_GBK" w:cs="方正仿宋_GBK"/>
          <w:sz w:val="32"/>
          <w:szCs w:val="32"/>
        </w:rPr>
        <w:t>抓人才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5个方面，形成了鼓励产业生态集聚、支持企业壮大规模、鼓励企业创先争优、支持软件业务独立运营、支持企业提档升级、支持软件产品能力提升、支持创新应用示范、 激励人才团队活力、支持研发平台建设、加大企业金融支持力度10条措施。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其中抓生态、</w:t>
      </w:r>
      <w:r>
        <w:rPr>
          <w:rFonts w:ascii="方正仿宋_GBK" w:hAnsi="方正仿宋_GBK" w:eastAsia="方正仿宋_GBK" w:cs="方正仿宋_GBK"/>
          <w:sz w:val="32"/>
          <w:szCs w:val="32"/>
        </w:rPr>
        <w:t>抓场所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方面包含了第一条鼓励产业生态集聚、第九条支持研发平台建设、第十条加大企业金融支持力度3条措施，目的是通过奖励楼宇运营方、支持研发平台建设及加大金融支持，</w:t>
      </w:r>
      <w:r>
        <w:rPr>
          <w:rFonts w:hint="eastAsia" w:eastAsia="方正仿宋_GBK"/>
          <w:sz w:val="32"/>
          <w:szCs w:val="32"/>
        </w:rPr>
        <w:t>鼓励运营团队</w:t>
      </w:r>
      <w:r>
        <w:rPr>
          <w:rFonts w:eastAsia="方正仿宋_GBK"/>
          <w:sz w:val="32"/>
          <w:szCs w:val="32"/>
        </w:rPr>
        <w:t>出台</w:t>
      </w:r>
      <w:r>
        <w:rPr>
          <w:rFonts w:hint="eastAsia" w:eastAsia="方正仿宋_GBK"/>
          <w:sz w:val="32"/>
          <w:szCs w:val="32"/>
        </w:rPr>
        <w:t>房租减免、装修补贴、就业补贴等</w:t>
      </w:r>
      <w:r>
        <w:rPr>
          <w:rFonts w:eastAsia="方正仿宋_GBK"/>
          <w:sz w:val="32"/>
          <w:szCs w:val="32"/>
        </w:rPr>
        <w:t>政策，</w:t>
      </w:r>
      <w:r>
        <w:rPr>
          <w:rFonts w:hint="eastAsia" w:eastAsia="方正仿宋_GBK"/>
          <w:sz w:val="32"/>
          <w:szCs w:val="32"/>
        </w:rPr>
        <w:t>引导</w:t>
      </w:r>
      <w:r>
        <w:rPr>
          <w:rFonts w:eastAsia="方正仿宋_GBK"/>
          <w:sz w:val="32"/>
          <w:szCs w:val="32"/>
        </w:rPr>
        <w:t>一批中小微软件企业入驻，提升产业楼宇使用率。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其中</w:t>
      </w:r>
      <w:r>
        <w:rPr>
          <w:rFonts w:ascii="方正仿宋_GBK" w:hAnsi="方正仿宋_GBK" w:eastAsia="方正仿宋_GBK" w:cs="方正仿宋_GBK"/>
          <w:sz w:val="32"/>
          <w:szCs w:val="32"/>
        </w:rPr>
        <w:t>抓企业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方面包含了第二条支持企业壮大规模、第三条鼓励企业创先争优、第四条支持软件业务独立运营、第五条支持企业提档升级、第六条支持软件产品能力提升5条措施，目的是为了激励软件企业做大做强，鼓励大型软件企业成为龙头型引领企业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其中</w:t>
      </w:r>
      <w:r>
        <w:rPr>
          <w:rFonts w:ascii="方正仿宋_GBK" w:hAnsi="方正仿宋_GBK" w:eastAsia="方正仿宋_GBK" w:cs="方正仿宋_GBK"/>
          <w:sz w:val="32"/>
          <w:szCs w:val="32"/>
        </w:rPr>
        <w:t>抓场景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方面包含了第七条支持创新应用示范1条措施，目的是为了支持企业打造特色化、标杆化应用场景示范项目，不断开拓市场。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其中</w:t>
      </w:r>
      <w:r>
        <w:rPr>
          <w:rFonts w:ascii="方正仿宋_GBK" w:hAnsi="方正仿宋_GBK" w:eastAsia="方正仿宋_GBK" w:cs="方正仿宋_GBK"/>
          <w:sz w:val="32"/>
          <w:szCs w:val="32"/>
        </w:rPr>
        <w:t>抓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人才方面包含了第八条激励人才团队活力，目的是支持企业招用应届毕业生。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重点阐述文件与上位法或者上位规范性文件不一致的内容（特别是创设性规定），并说明理由。</w:t>
      </w:r>
    </w:p>
    <w:p>
      <w:pPr>
        <w:spacing w:line="560" w:lineRule="exact"/>
        <w:ind w:firstLine="643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一是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十条措施中1、2、4、5、6条为新创政策，第3条为原工业和信息化专项政策拓展，第7条为原大数据应用发展专项资金政策拓展，第8条为人社局原有人才政策，第9条为区经信委原工业和信息化专项政策，第10条为金融支持政策，不涉及资金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二是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比两江新区、高新区、九龙坡区、南岸区、渝中区（详见附件2-2），我区在软信企业集聚、软信企业发展和产业生态打造方面的扶持力度基本持平南岸区、九龙坡区、渝中区，与两江新区和高新区政策侧重点不同。如：首次入选“重庆市重点软件企业”我区按照级别分别给予50万、25万、10万的奖励，高新区择优给予100万元、20万元的奖励，两江新区没有该扶持政策；首次获得双软评估的企业，给予不超过1万元的一次性奖励，其他区没有类似政策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三是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资金测算，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按照单项最高评估，初步预估《十条措施》扶持资金1730万元（详见附件2-2），其中市级资金500万元（2022年“满天星”行动计划市对区考评奖励），剩余1230万元需区级财政承担，该专项资金</w:t>
      </w:r>
      <w:r>
        <w:rPr>
          <w:rFonts w:ascii="方正仿宋_GBK" w:hAnsi="方正仿宋_GBK" w:eastAsia="方正仿宋_GBK" w:cs="方正仿宋_GBK"/>
          <w:sz w:val="32"/>
          <w:szCs w:val="32"/>
        </w:rPr>
        <w:t>采用总额控制、统筹平衡安排的原则使用，不超出年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度</w:t>
      </w:r>
      <w:r>
        <w:rPr>
          <w:rFonts w:ascii="方正仿宋_GBK" w:hAnsi="方正仿宋_GBK" w:eastAsia="方正仿宋_GBK" w:cs="方正仿宋_GBK"/>
          <w:sz w:val="32"/>
          <w:szCs w:val="32"/>
        </w:rPr>
        <w:t>预算资金总额。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四、联系人及联系方式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联系人：刘婉秋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电  话：13650530521</w:t>
      </w:r>
    </w:p>
    <w:p>
      <w:pPr>
        <w:pStyle w:val="4"/>
        <w:rPr>
          <w:sz w:val="32"/>
          <w:szCs w:val="32"/>
        </w:rPr>
      </w:pPr>
    </w:p>
    <w:p>
      <w:pPr>
        <w:pStyle w:val="4"/>
        <w:rPr>
          <w:rFonts w:hint="eastAsia"/>
          <w:sz w:val="32"/>
          <w:szCs w:val="32"/>
        </w:rPr>
      </w:pPr>
      <w:bookmarkStart w:id="0" w:name="_GoBack"/>
      <w:bookmarkEnd w:id="0"/>
    </w:p>
    <w:p>
      <w:pPr>
        <w:pStyle w:val="4"/>
        <w:rPr>
          <w:rFonts w:hint="eastAsia"/>
          <w:sz w:val="32"/>
          <w:szCs w:val="32"/>
        </w:rPr>
      </w:pPr>
    </w:p>
    <w:p>
      <w:pPr>
        <w:spacing w:line="560" w:lineRule="exact"/>
        <w:ind w:firstLine="4000" w:firstLineChars="1250"/>
        <w:jc w:val="center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重庆市渝北区经济和信息化委员会</w:t>
      </w:r>
    </w:p>
    <w:p>
      <w:pPr>
        <w:pStyle w:val="3"/>
        <w:spacing w:line="560" w:lineRule="exact"/>
        <w:ind w:firstLine="4000" w:firstLineChars="1250"/>
      </w:pPr>
      <w:r>
        <w:rPr>
          <w:rFonts w:ascii="Times New Roman" w:hAnsi="Times New Roman" w:eastAsia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hint="eastAsia"/>
          <w:sz w:val="32"/>
          <w:szCs w:val="32"/>
        </w:rPr>
        <w:t>3</w:t>
      </w:r>
      <w:r>
        <w:rPr>
          <w:rFonts w:ascii="Times New Roman" w:hAnsi="Times New Roman" w:eastAsia="方正仿宋_GBK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ascii="Times New Roman" w:hAnsi="Times New Roman" w:eastAsia="方正仿宋_GBK"/>
          <w:sz w:val="32"/>
          <w:szCs w:val="32"/>
        </w:rPr>
        <w:t>月</w:t>
      </w:r>
      <w:r>
        <w:rPr>
          <w:rFonts w:hint="eastAsia"/>
          <w:sz w:val="32"/>
          <w:szCs w:val="32"/>
        </w:rPr>
        <w:t>1</w:t>
      </w:r>
      <w:r>
        <w:rPr>
          <w:rFonts w:ascii="Times New Roman" w:hAnsi="Times New Roman" w:eastAsia="方正仿宋_GBK"/>
          <w:sz w:val="32"/>
          <w:szCs w:val="32"/>
        </w:rPr>
        <w:t>日</w:t>
      </w:r>
    </w:p>
    <w:p/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9402A"/>
    <w:multiLevelType w:val="singleLevel"/>
    <w:tmpl w:val="77C9402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C9"/>
    <w:rsid w:val="0047657C"/>
    <w:rsid w:val="00761AC9"/>
    <w:rsid w:val="008D74B8"/>
    <w:rsid w:val="00EF0C57"/>
    <w:rsid w:val="7CE2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link w:val="11"/>
    <w:qFormat/>
    <w:uiPriority w:val="0"/>
    <w:pPr>
      <w:spacing w:line="700" w:lineRule="exact"/>
      <w:jc w:val="center"/>
    </w:pPr>
    <w:rPr>
      <w:rFonts w:ascii="方正小标宋_GBK" w:hAnsi="Book Antiqua" w:eastAsia="方正小标宋_GBK" w:cs="Book Antiqua"/>
      <w:sz w:val="44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正文文本 Char"/>
    <w:link w:val="3"/>
    <w:uiPriority w:val="0"/>
    <w:rPr>
      <w:rFonts w:ascii="方正小标宋_GBK" w:hAnsi="Book Antiqua" w:eastAsia="方正小标宋_GBK" w:cs="Book Antiqua"/>
      <w:sz w:val="44"/>
      <w:szCs w:val="24"/>
    </w:rPr>
  </w:style>
  <w:style w:type="paragraph" w:customStyle="1" w:styleId="1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kern w:val="0"/>
      <w:sz w:val="24"/>
      <w:szCs w:val="24"/>
      <w:lang w:val="en-US" w:eastAsia="zh-CN" w:bidi="ar-SA"/>
    </w:rPr>
  </w:style>
  <w:style w:type="character" w:customStyle="1" w:styleId="13">
    <w:name w:val="正文文本 Char1"/>
    <w:basedOn w:val="6"/>
    <w:semiHidden/>
    <w:uiPriority w:val="99"/>
    <w:rPr>
      <w:rFonts w:ascii="Calibri" w:hAnsi="Calibri" w:eastAsia="宋体" w:cs="Times New Roman"/>
      <w:szCs w:val="24"/>
    </w:rPr>
  </w:style>
  <w:style w:type="paragraph" w:customStyle="1" w:styleId="14">
    <w:name w:val="普通(网站)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258</Words>
  <Characters>1477</Characters>
  <Lines>12</Lines>
  <Paragraphs>3</Paragraphs>
  <TotalTime>19</TotalTime>
  <ScaleCrop>false</ScaleCrop>
  <LinksUpToDate>false</LinksUpToDate>
  <CharactersWithSpaces>1732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2023-03-28T01:30:00Z</dcterms:created>
  <dc:creator>PC</dc:creator>
  <cp:lastModifiedBy>Administrator</cp:lastModifiedBy>
  <dcterms:modified xsi:type="dcterms:W3CDTF">2023-03-28T02:02:11Z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