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5" w:rsidRPr="00CE0425" w:rsidRDefault="00CE0425" w:rsidP="00CE0425">
      <w:pPr>
        <w:pStyle w:val="western"/>
        <w:spacing w:before="0" w:beforeAutospacing="0" w:after="0" w:afterAutospacing="0" w:line="560" w:lineRule="exact"/>
        <w:jc w:val="center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MS Mincho" w:eastAsia="MS Mincho" w:hAnsi="MS Mincho" w:cs="MS Mincho" w:hint="eastAsia"/>
          <w:sz w:val="32"/>
          <w:szCs w:val="32"/>
        </w:rPr>
        <w:t>​</w:t>
      </w:r>
      <w:r w:rsidRPr="00CE0425">
        <w:rPr>
          <w:rFonts w:ascii="方正仿宋_GBK" w:eastAsia="方正仿宋_GBK" w:hAnsi="方正仿宋_GBK" w:cs="方正仿宋_GBK" w:hint="eastAsia"/>
          <w:sz w:val="32"/>
          <w:szCs w:val="32"/>
        </w:rPr>
        <w:t>渝</w:t>
      </w:r>
      <w:proofErr w:type="gramStart"/>
      <w:r w:rsidRPr="00CE0425">
        <w:rPr>
          <w:rFonts w:ascii="方正仿宋_GBK" w:eastAsia="方正仿宋_GBK" w:hAnsi="方正仿宋_GBK" w:cs="方正仿宋_GBK" w:hint="eastAsia"/>
          <w:sz w:val="32"/>
          <w:szCs w:val="32"/>
        </w:rPr>
        <w:t>北府征〔</w:t>
      </w:r>
      <w:r w:rsidRPr="00CE0425">
        <w:rPr>
          <w:rFonts w:ascii="方正仿宋_GBK" w:eastAsia="方正仿宋_GBK" w:hint="eastAsia"/>
          <w:sz w:val="32"/>
          <w:szCs w:val="32"/>
        </w:rPr>
        <w:t>2022〕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1号</w:t>
      </w:r>
    </w:p>
    <w:p w:rsidR="00CE0425" w:rsidRPr="00CE0425" w:rsidRDefault="00CE0425" w:rsidP="00CE0425">
      <w:pPr>
        <w:pStyle w:val="western"/>
        <w:spacing w:after="0" w:afterAutospacing="0" w:line="560" w:lineRule="exact"/>
        <w:jc w:val="both"/>
        <w:rPr>
          <w:rFonts w:ascii="方正仿宋_GBK" w:eastAsia="方正仿宋_GBK" w:hint="eastAsia"/>
          <w:sz w:val="32"/>
          <w:szCs w:val="32"/>
        </w:rPr>
      </w:pPr>
    </w:p>
    <w:p w:rsidR="00CE0425" w:rsidRPr="00CE0425" w:rsidRDefault="00CE0425" w:rsidP="00CE0425">
      <w:pPr>
        <w:pStyle w:val="western"/>
        <w:spacing w:after="0" w:afterAutospacing="0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E0425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CE0425">
        <w:rPr>
          <w:rFonts w:ascii="方正小标宋_GBK" w:eastAsia="方正小标宋_GBK" w:hint="eastAsia"/>
          <w:sz w:val="44"/>
          <w:szCs w:val="44"/>
        </w:rPr>
        <w:t>渝</w:t>
      </w:r>
      <w:proofErr w:type="gramEnd"/>
      <w:r w:rsidRPr="00CE0425">
        <w:rPr>
          <w:rFonts w:ascii="方正小标宋_GBK" w:eastAsia="方正小标宋_GBK" w:hint="eastAsia"/>
          <w:sz w:val="44"/>
          <w:szCs w:val="44"/>
        </w:rPr>
        <w:t>北区人民政府</w:t>
      </w:r>
    </w:p>
    <w:p w:rsidR="00CE0425" w:rsidRPr="00CE0425" w:rsidRDefault="00CE0425" w:rsidP="00CE0425">
      <w:pPr>
        <w:pStyle w:val="western"/>
        <w:spacing w:after="0" w:afterAutospacing="0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E0425">
        <w:rPr>
          <w:rFonts w:ascii="方正小标宋_GBK" w:eastAsia="方正小标宋_GBK" w:hint="eastAsia"/>
          <w:sz w:val="44"/>
          <w:szCs w:val="44"/>
        </w:rPr>
        <w:t>关于空港新城片区零星危旧房改造项目</w:t>
      </w:r>
    </w:p>
    <w:p w:rsidR="00CE0425" w:rsidRPr="00CE0425" w:rsidRDefault="00CE0425" w:rsidP="00CE0425">
      <w:pPr>
        <w:pStyle w:val="western"/>
        <w:spacing w:after="0" w:afterAutospacing="0"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E0425">
        <w:rPr>
          <w:rFonts w:ascii="方正小标宋_GBK" w:eastAsia="方正小标宋_GBK" w:hint="eastAsia"/>
          <w:sz w:val="44"/>
          <w:szCs w:val="44"/>
        </w:rPr>
        <w:t>国有土地上房屋征收补偿的决定</w:t>
      </w:r>
    </w:p>
    <w:p w:rsidR="00CE0425" w:rsidRPr="00CE0425" w:rsidRDefault="00CE0425" w:rsidP="00CE0425">
      <w:pPr>
        <w:pStyle w:val="western"/>
        <w:spacing w:after="0" w:afterAutospacing="0" w:line="560" w:lineRule="exact"/>
        <w:jc w:val="both"/>
        <w:rPr>
          <w:rFonts w:ascii="方正仿宋_GBK" w:eastAsia="方正仿宋_GBK" w:hint="eastAsia"/>
          <w:sz w:val="32"/>
          <w:szCs w:val="32"/>
        </w:rPr>
      </w:pP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根据《国有土地上房屋征收与补偿条例》（国务院590号令）、《重庆市国有土地上房屋征收与补偿办法（暂行）》（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渝办发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〔2011〕123号）规定，重庆市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北区人民政府于2021年8月10日对空港新城片区零星危旧房改造项目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国有土地上房屋征收决定（渝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北府征〔2021〕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19号），并于当日发布了房屋征收公告（渝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北府征〔2021〕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20号），明确了该征收项目签约期为2021年8月20日至2021年10月18日。被征收人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在规定的签约期内未能与征收部门达成房屋征收补偿协议。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经查，被征收人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在渝北区双龙湖街道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仙桃乡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花石村1幢1-1有房屋（征收项目房屋编号B2）一套，房地证号为201房地证2008字第36860号，房地证显示：土地使用权类型为出让，土地用途为工矿用地，土地使用权面积为1145平方米，房屋结构为砖木，房屋用途为非住宅，房屋建筑面积为315平方米。现房屋全部改建，改建后面积共计1238.98</w:t>
      </w:r>
      <w:r w:rsidRPr="00CE0425">
        <w:rPr>
          <w:rFonts w:ascii="方正仿宋_GBK" w:eastAsia="方正仿宋_GBK" w:hint="eastAsia"/>
          <w:sz w:val="32"/>
          <w:szCs w:val="32"/>
        </w:rPr>
        <w:lastRenderedPageBreak/>
        <w:t>平方米，结构为混合。根据《空港新城片区零星危旧房改造项目国有土地上房屋征收补偿方案》，房屋征收补偿安置方式为货币补偿或产权调换两种：一是按货币补偿安置方式，根据被征收房屋征收估价报告、房屋装修补偿价值咨询意见书、空地评估咨询意见书、构附着物价值咨询意见书、未经登记建筑价值咨询意见书、设备价值咨询意见书、重庆市房产面积测算报告书等，该被征收房屋补偿总价为5815393.5元（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证载房屋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评估价值1942132.5元，容积率小于1补偿费1469100元，装饰装修补偿费247796元，构附着物补偿费203737.8元，机器设备补偿费174569.6元，拆除工时补助费1478368元，搬迁补助费12600元，货币补偿补助费170561.6元，停产停业损失补偿费116528元），以上如有差异，按征收补偿方案据实结算；二是按产权调换安置方式，该被征收房屋补偿总价为5599167.9元（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证载房屋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评估价值1942132.5元，容积率小于1补偿费1469100元，旧房装饰装修补偿费247796元，旧房搬迁补助费12600元，新房搬迁补助费12600元，拆除工时补助费1478368元，构附着物补偿费203737.8元，机器设备补偿费174569.6元，临时安置费58264元），征收部门提供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北区双龙湖街道兰桂大道168号附2号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融创渝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北中央公园1-2幢1-商业20（建筑面积115.56平方米，评估单价27200元/平方米，总价3143232元）和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渝北区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双龙湖街道兰桂大道168号附4号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融创渝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北中央公园1-2幢1-商业18（建筑面积98.21平方米，评估单价27200元/平方米，总价2671312元）两套非住宅安置被征收人，按</w:t>
      </w:r>
      <w:r w:rsidRPr="00CE0425">
        <w:rPr>
          <w:rFonts w:ascii="方正仿宋_GBK" w:eastAsia="方正仿宋_GBK" w:hint="eastAsia"/>
          <w:sz w:val="32"/>
          <w:szCs w:val="32"/>
        </w:rPr>
        <w:lastRenderedPageBreak/>
        <w:t>照《空港新城片区零星危旧房改造项目国有土地上房屋征收补偿方案》相关条款计算后，以产权调换安置方式，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曹前进向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征收</w:t>
      </w:r>
      <w:r w:rsidRPr="00CE0425">
        <w:rPr>
          <w:rFonts w:ascii="方正仿宋_GBK" w:eastAsia="方正仿宋_GBK" w:hint="eastAsia"/>
          <w:spacing w:val="6"/>
          <w:sz w:val="32"/>
          <w:szCs w:val="32"/>
        </w:rPr>
        <w:t>部门缴纳215376.1元，以上如有差异，按征收补偿方案据实结算。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被</w:t>
      </w:r>
      <w:r w:rsidRPr="00CE0425">
        <w:rPr>
          <w:rFonts w:ascii="方正仿宋_GBK" w:eastAsia="方正仿宋_GBK" w:hint="eastAsia"/>
          <w:spacing w:val="-8"/>
          <w:sz w:val="32"/>
          <w:szCs w:val="32"/>
        </w:rPr>
        <w:t>征收人要求：1、要求所有未经登记建筑按合法建筑价值进行补偿；2、认为评估价格过低，要求提高评估价格；3、要求在周边提供相似大小的土地。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鉴于《空港新城片区零星危旧房改造项目国有土地上房屋征收补偿方案》严格按照法定程序制定、实施，符合法律法规及政策规定，被征收人的要求没有法律依据。为确保空港新城片区零星危旧房改造项目顺利进行，根据《国有土地上房屋征收与补偿条例》第二十六条、《重庆市国有土地上房屋征收与补偿条例》第四十五条规定，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如下补偿决定：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一、征收部门按《空港新城片区零星危旧房改造项目国有土地上房屋征收补偿方案》、房屋征收估价报告、房屋装修补偿价值咨询意见书、空地评估咨询意见书、构附着物价值咨询意见书、未经登记建筑价值咨询意见书、设备价值咨询意见书、重庆市房产面积测算报告书等，对被征收人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实施货币补偿或产权调换安置：一是按货币补偿安置方式，该被征收房屋补偿总价为5815393.5元（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证载房屋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评估价值1942132.5元，容积率小于1补偿费1469100元，装饰装修补偿费247796元，构附着物补偿费203737.8元，机器设备补偿费174569.6元，拆除工时补助费1478368元，搬迁补助费</w:t>
      </w:r>
      <w:r w:rsidRPr="00CE0425">
        <w:rPr>
          <w:rFonts w:ascii="方正仿宋_GBK" w:eastAsia="方正仿宋_GBK" w:hint="eastAsia"/>
          <w:sz w:val="32"/>
          <w:szCs w:val="32"/>
        </w:rPr>
        <w:lastRenderedPageBreak/>
        <w:t>12600元，货币补偿补助费170561.6元，停产停业损失补偿费116528元），以上如有差异，按征收补偿方案据实结算；二是按产权调换安置方式，该被征收房屋补偿总价为5599167.9元（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证载房屋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评估价值1942132.5元，容积率小于1补偿费1469100元，旧房装饰装修补偿费247796元，旧房搬迁补助费12600元，新房搬迁补助费12600元，拆除工时补助费1478368元，构附着物补偿费203737.8元，机器设备补偿费174569.6元，临时安置费58264元），征收部门提供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北区双龙湖街道兰桂大道168号附2号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融创渝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北中央公园1-2幢1-商业20（建筑面积115.56平方米，评估单价27200元/平方米，总价3143232元）和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渝北区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双龙湖街道兰桂大道168号附4号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融创渝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中央公园1-2幢1-商业18（建筑面积98.21平方米，评估单价27200元/平方米，总价2671312元）两套非住宅安置被征收人，按照《空港新城片区零星危旧房改造项目国有土地上房屋征收补偿方案》相关条款计算后，以产权调换安置方式，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曹前进向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征收</w:t>
      </w:r>
      <w:r w:rsidRPr="00CE0425">
        <w:rPr>
          <w:rFonts w:ascii="方正仿宋_GBK" w:eastAsia="方正仿宋_GBK" w:hint="eastAsia"/>
          <w:spacing w:val="6"/>
          <w:sz w:val="32"/>
          <w:szCs w:val="32"/>
        </w:rPr>
        <w:t>部门缴纳215376.1元，以上如有差异，按征收补偿方案据实结算。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二、被征收人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应在收到本补偿决定之日起15日内领取货币补偿款或接受征收部门提供的产权调换房屋，并与征收部门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完清相关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手续，将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曹前进位于渝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北区双龙湖街道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仙桃乡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花石村1幢1-1共计1238.98平方米的房屋（征收项目房屋编号B2）向征收部门进行腾空交付，否则征收部门将依法申请人民法院强制执行。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lastRenderedPageBreak/>
        <w:t>三、被征收人对本补偿决定不服的，可在收到本补偿决定之日起60日内向重庆市人民政府申请行政复议，或在收到补偿决定之日起6个月内向重庆市第一中级人民法院提起行政诉讼。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</w:p>
    <w:p w:rsidR="00CE0425" w:rsidRPr="00CE0425" w:rsidRDefault="00CE0425" w:rsidP="00CE0425">
      <w:pPr>
        <w:pStyle w:val="western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</w:p>
    <w:p w:rsidR="00CE0425" w:rsidRPr="00CE0425" w:rsidRDefault="00CE0425" w:rsidP="00CE0425">
      <w:pPr>
        <w:pStyle w:val="western"/>
        <w:spacing w:after="0" w:afterAutospacing="0" w:line="560" w:lineRule="exact"/>
        <w:ind w:firstLine="4723"/>
        <w:jc w:val="right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CE0425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CE0425">
        <w:rPr>
          <w:rFonts w:ascii="方正仿宋_GBK" w:eastAsia="方正仿宋_GBK" w:hint="eastAsia"/>
          <w:sz w:val="32"/>
          <w:szCs w:val="32"/>
        </w:rPr>
        <w:t>北区人民政府</w:t>
      </w:r>
    </w:p>
    <w:p w:rsidR="00CE0425" w:rsidRPr="00CE0425" w:rsidRDefault="00CE0425" w:rsidP="00CE0425">
      <w:pPr>
        <w:pStyle w:val="western"/>
        <w:spacing w:after="0" w:afterAutospacing="0" w:line="560" w:lineRule="exact"/>
        <w:ind w:right="1267" w:firstLineChars="1398" w:firstLine="4474"/>
        <w:jc w:val="right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2022年6月21日</w:t>
      </w:r>
    </w:p>
    <w:p w:rsidR="00CE0425" w:rsidRPr="00CE0425" w:rsidRDefault="00CE0425" w:rsidP="00CE0425">
      <w:pPr>
        <w:pStyle w:val="a3"/>
        <w:spacing w:after="0" w:afterAutospacing="0" w:line="560" w:lineRule="exact"/>
        <w:ind w:firstLine="634"/>
        <w:jc w:val="both"/>
        <w:rPr>
          <w:rFonts w:ascii="方正仿宋_GBK" w:eastAsia="方正仿宋_GBK" w:hint="eastAsia"/>
          <w:sz w:val="32"/>
          <w:szCs w:val="32"/>
        </w:rPr>
      </w:pPr>
      <w:r w:rsidRPr="00CE0425"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BC784C" w:rsidRDefault="00BC784C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  <w:bookmarkStart w:id="0" w:name="_GoBack"/>
      <w:bookmarkEnd w:id="0"/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Default="00CE0425" w:rsidP="00CE0425">
      <w:pPr>
        <w:spacing w:line="560" w:lineRule="exact"/>
        <w:rPr>
          <w:szCs w:val="32"/>
        </w:rPr>
      </w:pPr>
    </w:p>
    <w:p w:rsidR="00CE0425" w:rsidRPr="000952EE" w:rsidRDefault="00CE0425" w:rsidP="00CE0425">
      <w:pPr>
        <w:spacing w:line="560" w:lineRule="exact"/>
        <w:rPr>
          <w:rFonts w:ascii="方正仿宋_GBK" w:eastAsia="方正仿宋_GBK"/>
          <w:sz w:val="28"/>
          <w:szCs w:val="28"/>
        </w:rPr>
      </w:pPr>
    </w:p>
    <w:p w:rsidR="00CE0425" w:rsidRPr="000952EE" w:rsidRDefault="00CE0425" w:rsidP="00CE0425">
      <w:pPr>
        <w:pBdr>
          <w:top w:val="single" w:sz="4" w:space="3" w:color="auto"/>
          <w:bottom w:val="single" w:sz="4" w:space="0" w:color="auto"/>
        </w:pBdr>
        <w:spacing w:line="560" w:lineRule="exact"/>
        <w:ind w:firstLineChars="100" w:firstLine="280"/>
        <w:rPr>
          <w:rFonts w:ascii="方正仿宋_GBK" w:eastAsia="方正仿宋_GBK"/>
          <w:sz w:val="28"/>
          <w:szCs w:val="28"/>
        </w:rPr>
      </w:pPr>
      <w:r w:rsidRPr="000952EE">
        <w:rPr>
          <w:rFonts w:ascii="方正仿宋_GBK" w:eastAsia="方正仿宋_GBK" w:hint="eastAsia"/>
          <w:sz w:val="28"/>
          <w:szCs w:val="28"/>
        </w:rPr>
        <w:t>抄送：双龙湖街道办事处，仙桃街道办事处，区规划自然资源局，区征地事务中心，区公安分局，区财政局，区民政局，区住房城乡建委，区市场监管局，区农业农村委，区林业局，区人力社保局，区税务局，区不动产登记中心。</w:t>
      </w:r>
    </w:p>
    <w:p w:rsidR="00CE0425" w:rsidRPr="000952EE" w:rsidRDefault="00CE0425" w:rsidP="00CE0425">
      <w:pPr>
        <w:pBdr>
          <w:bottom w:val="single" w:sz="4" w:space="0" w:color="auto"/>
        </w:pBdr>
        <w:spacing w:line="560" w:lineRule="exact"/>
        <w:ind w:firstLineChars="100" w:firstLine="280"/>
        <w:rPr>
          <w:rFonts w:ascii="方正仿宋_GBK" w:eastAsia="方正仿宋_GBK"/>
          <w:sz w:val="28"/>
          <w:szCs w:val="28"/>
        </w:rPr>
      </w:pPr>
      <w:r w:rsidRPr="000952EE">
        <w:rPr>
          <w:rFonts w:ascii="方正仿宋_GBK" w:eastAsia="方正仿宋_GBK" w:hint="eastAsia"/>
          <w:sz w:val="28"/>
          <w:szCs w:val="28"/>
        </w:rPr>
        <w:t>重庆市</w:t>
      </w:r>
      <w:proofErr w:type="gramStart"/>
      <w:r w:rsidRPr="000952EE">
        <w:rPr>
          <w:rFonts w:ascii="方正仿宋_GBK" w:eastAsia="方正仿宋_GBK" w:hint="eastAsia"/>
          <w:sz w:val="28"/>
          <w:szCs w:val="28"/>
        </w:rPr>
        <w:t>渝</w:t>
      </w:r>
      <w:proofErr w:type="gramEnd"/>
      <w:r w:rsidRPr="000952EE">
        <w:rPr>
          <w:rFonts w:ascii="方正仿宋_GBK" w:eastAsia="方正仿宋_GBK" w:hint="eastAsia"/>
          <w:sz w:val="28"/>
          <w:szCs w:val="28"/>
        </w:rPr>
        <w:t>北区人民政府办公室            2022年6月21日印发</w:t>
      </w:r>
    </w:p>
    <w:p w:rsidR="00CE0425" w:rsidRPr="00CE0425" w:rsidRDefault="00CE0425" w:rsidP="00CE0425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sectPr w:rsidR="00CE0425" w:rsidRPr="00CE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7B"/>
    <w:rsid w:val="00BC784C"/>
    <w:rsid w:val="00CE0425"/>
    <w:rsid w:val="00E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2022-08-31T02:40:00Z</dcterms:created>
  <dcterms:modified xsi:type="dcterms:W3CDTF">2022-08-31T02:42:00Z</dcterms:modified>
</cp:coreProperties>
</file>