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9C6C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重庆市渝北区发展和改革委员会</w:t>
      </w:r>
    </w:p>
    <w:p w14:paraId="022EC1C5">
      <w:pPr>
        <w:spacing w:line="52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重庆市渝北区民政局</w:t>
      </w:r>
    </w:p>
    <w:p w14:paraId="64E277CC">
      <w:pPr>
        <w:spacing w:line="520" w:lineRule="exact"/>
        <w:jc w:val="center"/>
        <w:rPr>
          <w:rFonts w:hint="eastAsia" w:ascii="方正仿宋_GBK" w:eastAsia="方正仿宋_GBK"/>
          <w:sz w:val="32"/>
        </w:rPr>
      </w:pPr>
      <w:r>
        <w:rPr>
          <w:rFonts w:hint="eastAsia" w:ascii="方正小标宋_GBK" w:eastAsia="方正小标宋_GBK"/>
          <w:sz w:val="44"/>
          <w:szCs w:val="44"/>
        </w:rPr>
        <w:t>关于核定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玉峰山镇临时治丧中心</w:t>
      </w:r>
      <w:r>
        <w:rPr>
          <w:rFonts w:hint="eastAsia" w:ascii="方正小标宋_GBK" w:eastAsia="方正小标宋_GBK"/>
          <w:sz w:val="44"/>
          <w:szCs w:val="44"/>
        </w:rPr>
        <w:t>基本殡葬服务收费项目和收费标准的通知</w:t>
      </w:r>
    </w:p>
    <w:p w14:paraId="389CF451">
      <w:pPr>
        <w:spacing w:line="560" w:lineRule="exact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5628C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重庆市渝北区玉峰山镇人民政府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25BC7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szCs w:val="32"/>
        </w:rPr>
        <w:t>根据《</w:t>
      </w:r>
      <w:r>
        <w:rPr>
          <w:rFonts w:hint="eastAsia" w:ascii="方正仿宋_GBK" w:eastAsia="方正仿宋_GBK"/>
          <w:sz w:val="32"/>
          <w:szCs w:val="32"/>
        </w:rPr>
        <w:fldChar w:fldCharType="begin"/>
      </w:r>
      <w:r>
        <w:rPr>
          <w:rFonts w:hint="eastAsia" w:ascii="方正仿宋_GBK" w:eastAsia="方正仿宋_GBK"/>
          <w:sz w:val="32"/>
          <w:szCs w:val="32"/>
        </w:rPr>
        <w:instrText xml:space="preserve"> HYPERLINK "http://www.flssw.com/fagui/info/41384640/" \t "_blank" </w:instrText>
      </w:r>
      <w:r>
        <w:rPr>
          <w:rFonts w:hint="eastAsia" w:ascii="方正仿宋_GBK" w:eastAsia="方正仿宋_GBK"/>
          <w:sz w:val="32"/>
          <w:szCs w:val="32"/>
        </w:rPr>
        <w:fldChar w:fldCharType="separate"/>
      </w:r>
      <w:r>
        <w:rPr>
          <w:rFonts w:hint="eastAsia" w:ascii="方正仿宋_GBK" w:eastAsia="方正仿宋_GBK"/>
          <w:sz w:val="32"/>
          <w:szCs w:val="32"/>
        </w:rPr>
        <w:t>重庆市殡葬收费管理暂行办法</w:t>
      </w:r>
      <w:r>
        <w:rPr>
          <w:rFonts w:hint="eastAsia"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》（渝办发〔2012〕149号）和市物价局、市民政局《关于进一步加强殡葬收费管理工作的通知》（渝价〔2013〕157号）</w:t>
      </w:r>
      <w:r>
        <w:rPr>
          <w:rFonts w:hint="eastAsia" w:ascii="方正仿宋_GBK" w:eastAsia="方正仿宋_GBK"/>
          <w:sz w:val="32"/>
        </w:rPr>
        <w:t>的相关要求，结</w:t>
      </w:r>
      <w:r>
        <w:rPr>
          <w:rFonts w:hint="eastAsia" w:ascii="方正仿宋_GBK" w:eastAsia="方正仿宋_GBK"/>
          <w:sz w:val="32"/>
          <w:lang w:val="en-US" w:eastAsia="zh-CN"/>
        </w:rPr>
        <w:t>合你镇临时治丧中心</w:t>
      </w:r>
      <w:r>
        <w:rPr>
          <w:rFonts w:ascii="方正仿宋_GBK" w:eastAsia="方正仿宋_GBK"/>
          <w:sz w:val="32"/>
        </w:rPr>
        <w:t>实际情况，经研究，现将</w:t>
      </w:r>
      <w:r>
        <w:rPr>
          <w:rFonts w:hint="eastAsia" w:ascii="方正仿宋_GBK" w:eastAsia="方正仿宋_GBK"/>
          <w:sz w:val="32"/>
          <w:lang w:val="en-US" w:eastAsia="zh-CN"/>
        </w:rPr>
        <w:t>你镇临时治丧中心</w:t>
      </w:r>
      <w:r>
        <w:rPr>
          <w:rFonts w:ascii="方正仿宋_GBK" w:eastAsia="方正仿宋_GBK"/>
          <w:sz w:val="32"/>
        </w:rPr>
        <w:t>基本</w:t>
      </w:r>
      <w:r>
        <w:rPr>
          <w:rFonts w:hint="eastAsia" w:ascii="方正仿宋_GBK" w:eastAsia="方正仿宋_GBK"/>
          <w:sz w:val="32"/>
        </w:rPr>
        <w:t>殡葬</w:t>
      </w:r>
      <w:r>
        <w:rPr>
          <w:rFonts w:ascii="方正仿宋_GBK" w:eastAsia="方正仿宋_GBK"/>
          <w:sz w:val="32"/>
        </w:rPr>
        <w:t>服务收费</w:t>
      </w:r>
      <w:r>
        <w:rPr>
          <w:rFonts w:hint="eastAsia" w:ascii="方正仿宋_GBK" w:eastAsia="方正仿宋_GBK"/>
          <w:sz w:val="32"/>
          <w:szCs w:val="32"/>
        </w:rPr>
        <w:t>有关事项通知如下：</w:t>
      </w:r>
    </w:p>
    <w:p w14:paraId="0397D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>一、</w:t>
      </w:r>
      <w:r>
        <w:rPr>
          <w:rFonts w:ascii="方正仿宋_GBK" w:eastAsia="方正仿宋_GBK"/>
          <w:sz w:val="32"/>
        </w:rPr>
        <w:t>基本</w:t>
      </w:r>
      <w:r>
        <w:rPr>
          <w:rFonts w:hint="eastAsia" w:ascii="方正仿宋_GBK" w:eastAsia="方正仿宋_GBK"/>
          <w:sz w:val="32"/>
        </w:rPr>
        <w:t>殡葬</w:t>
      </w:r>
      <w:r>
        <w:rPr>
          <w:rFonts w:ascii="方正仿宋_GBK" w:eastAsia="方正仿宋_GBK"/>
          <w:sz w:val="32"/>
        </w:rPr>
        <w:t>服务收费项目及收费标准详见附件</w:t>
      </w:r>
      <w:r>
        <w:rPr>
          <w:rFonts w:hint="eastAsia" w:ascii="方正仿宋_GBK" w:eastAsia="方正仿宋_GBK"/>
          <w:sz w:val="32"/>
          <w:lang w:val="en-US" w:eastAsia="zh-CN"/>
        </w:rPr>
        <w:t>1、附件2</w:t>
      </w:r>
      <w:r>
        <w:rPr>
          <w:rFonts w:ascii="方正仿宋_GBK" w:eastAsia="方正仿宋_GBK"/>
          <w:sz w:val="32"/>
        </w:rPr>
        <w:t>。</w:t>
      </w:r>
    </w:p>
    <w:p w14:paraId="00B9F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>二、</w:t>
      </w:r>
      <w:r>
        <w:rPr>
          <w:rFonts w:hint="eastAsia" w:ascii="方正仿宋_GBK" w:eastAsia="方正仿宋_GBK"/>
          <w:sz w:val="32"/>
        </w:rPr>
        <w:t>非基本殡葬服务收费项目收费标准实行市场调节价，收费标准由殡葬服务机构按经营成本和市场供求状况自主</w:t>
      </w:r>
      <w:r>
        <w:rPr>
          <w:rFonts w:hint="eastAsia" w:ascii="方正仿宋_GBK" w:eastAsia="方正仿宋_GBK"/>
          <w:sz w:val="32"/>
          <w:lang w:val="en-US" w:eastAsia="zh-CN"/>
        </w:rPr>
        <w:t>合理</w:t>
      </w:r>
      <w:r>
        <w:rPr>
          <w:rFonts w:hint="eastAsia" w:ascii="方正仿宋_GBK" w:eastAsia="方正仿宋_GBK"/>
          <w:sz w:val="32"/>
        </w:rPr>
        <w:t>制定。主要丧葬用品价格实行购销差率管理。</w:t>
      </w:r>
    </w:p>
    <w:p w14:paraId="2B43A5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eastAsia="方正仿宋_GBK"/>
          <w:sz w:val="32"/>
          <w:szCs w:val="32"/>
        </w:rPr>
        <w:t>、请你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中心</w:t>
      </w:r>
      <w:r>
        <w:rPr>
          <w:rFonts w:hint="eastAsia" w:ascii="方正仿宋_GBK" w:eastAsia="方正仿宋_GBK"/>
          <w:sz w:val="32"/>
          <w:szCs w:val="32"/>
        </w:rPr>
        <w:t>认真按照商品和服务明码标价相关规定，在收费处醒目位置公示收费标准、价格投诉举报电话等信息，自觉接受价格主管部门、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市场监管部门、</w:t>
      </w:r>
      <w:r>
        <w:rPr>
          <w:rFonts w:hint="eastAsia" w:ascii="方正仿宋_GBK" w:eastAsia="方正仿宋_GBK"/>
          <w:sz w:val="32"/>
          <w:szCs w:val="32"/>
        </w:rPr>
        <w:t xml:space="preserve">民政部门和社会群众的监督。    </w:t>
      </w:r>
    </w:p>
    <w:p w14:paraId="1ED64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eastAsia="方正仿宋_GBK"/>
          <w:sz w:val="32"/>
          <w:szCs w:val="32"/>
        </w:rPr>
        <w:t>、本通知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自印发之日起施行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28208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2B048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附件：1.</w:t>
      </w:r>
      <w:r>
        <w:rPr>
          <w:rFonts w:hint="eastAsia" w:ascii="方正仿宋_GBK" w:eastAsia="方正仿宋_GBK"/>
          <w:sz w:val="32"/>
          <w:lang w:val="en-US" w:eastAsia="zh-CN"/>
        </w:rPr>
        <w:t>玉峰山镇临时治丧中心</w:t>
      </w:r>
      <w:r>
        <w:rPr>
          <w:rFonts w:hint="eastAsia" w:ascii="方正仿宋_GBK" w:eastAsia="方正仿宋_GBK"/>
          <w:sz w:val="32"/>
        </w:rPr>
        <w:t>基本殡葬服务收费项目及收费标准</w:t>
      </w:r>
    </w:p>
    <w:p w14:paraId="5992A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textAlignment w:val="auto"/>
        <w:rPr>
          <w:rFonts w:hint="eastAsia" w:ascii="方正仿宋_GBK" w:hAnsi="方正仿宋_GBK" w:eastAsia="方正仿宋_GBK"/>
          <w:sz w:val="32"/>
        </w:rPr>
      </w:pPr>
      <w:r>
        <w:rPr>
          <w:rFonts w:hint="eastAsia" w:ascii="方正仿宋_GBK" w:hAnsi="方正仿宋_GBK" w:eastAsia="方正仿宋_GBK"/>
          <w:sz w:val="32"/>
          <w:lang w:val="en-US" w:eastAsia="zh-CN"/>
        </w:rPr>
        <w:t>2.玉峰山镇临时治丧中心</w:t>
      </w:r>
      <w:r>
        <w:rPr>
          <w:rFonts w:hint="eastAsia" w:ascii="方正仿宋_GBK" w:hAnsi="方正仿宋_GBK" w:eastAsia="方正仿宋_GBK"/>
          <w:spacing w:val="-16"/>
          <w:sz w:val="32"/>
        </w:rPr>
        <w:t>守灵治丧厅</w:t>
      </w:r>
      <w:r>
        <w:rPr>
          <w:rFonts w:hint="eastAsia" w:ascii="方正仿宋_GBK" w:hAnsi="方正仿宋_GBK" w:eastAsia="方正仿宋_GBK"/>
          <w:sz w:val="32"/>
        </w:rPr>
        <w:t>租用收费标准</w:t>
      </w:r>
    </w:p>
    <w:p w14:paraId="40CC6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4366E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仿宋_GBK" w:eastAsia="方正仿宋_GBK"/>
          <w:spacing w:val="-20"/>
          <w:sz w:val="32"/>
        </w:rPr>
      </w:pPr>
    </w:p>
    <w:p w14:paraId="740B1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jc w:val="center"/>
        <w:textAlignment w:val="auto"/>
        <w:rPr>
          <w:rFonts w:hint="eastAsia" w:ascii="方正仿宋_GBK" w:eastAsia="方正仿宋_GBK"/>
          <w:b/>
          <w:bCs/>
          <w:spacing w:val="-20"/>
          <w:sz w:val="32"/>
        </w:rPr>
      </w:pPr>
      <w:r>
        <w:rPr>
          <w:rFonts w:hint="eastAsia" w:ascii="方正仿宋_GBK" w:eastAsia="方正仿宋_GBK"/>
          <w:spacing w:val="-20"/>
          <w:sz w:val="32"/>
        </w:rPr>
        <w:t>重庆市渝北区发展和改革委员会               重庆市渝北区民政局</w:t>
      </w:r>
      <w:r>
        <w:rPr>
          <w:rFonts w:hint="eastAsia" w:ascii="方正仿宋_GBK" w:eastAsia="方正仿宋_GBK"/>
          <w:b/>
          <w:bCs/>
          <w:spacing w:val="-20"/>
          <w:sz w:val="32"/>
        </w:rPr>
        <w:t xml:space="preserve"> </w:t>
      </w:r>
    </w:p>
    <w:p w14:paraId="5B258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ind w:firstLine="6080" w:firstLineChars="1900"/>
        <w:jc w:val="both"/>
        <w:textAlignment w:val="auto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</w:rPr>
        <w:t>20</w:t>
      </w:r>
      <w:r>
        <w:rPr>
          <w:rFonts w:hint="eastAsia" w:ascii="方正仿宋_GBK" w:eastAsia="方正仿宋_GBK"/>
          <w:sz w:val="32"/>
          <w:lang w:val="en-US" w:eastAsia="zh-CN"/>
        </w:rPr>
        <w:t>24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K" w:eastAsia="方正仿宋_GBK"/>
          <w:sz w:val="32"/>
        </w:rPr>
        <w:t>日</w:t>
      </w:r>
    </w:p>
    <w:p w14:paraId="6986F004">
      <w:pPr>
        <w:pStyle w:val="3"/>
        <w:spacing w:before="116" w:line="207" w:lineRule="auto"/>
        <w:rPr>
          <w:rFonts w:ascii="方正黑体_GBK" w:hAnsi="方正黑体_GBK" w:eastAsia="方正黑体_GBK" w:cs="方正黑体_GBK"/>
          <w:spacing w:val="-4"/>
        </w:rPr>
      </w:pPr>
    </w:p>
    <w:p w14:paraId="5F426E26">
      <w:pPr>
        <w:pStyle w:val="3"/>
        <w:spacing w:before="116" w:line="207" w:lineRule="auto"/>
      </w:pPr>
      <w:r>
        <w:rPr>
          <w:rFonts w:ascii="方正黑体_GBK" w:hAnsi="方正黑体_GBK" w:eastAsia="方正黑体_GBK" w:cs="方正黑体_GBK"/>
          <w:spacing w:val="-4"/>
        </w:rPr>
        <w:t>附件</w:t>
      </w:r>
      <w:r>
        <w:rPr>
          <w:rFonts w:ascii="方正黑体_GBK" w:hAnsi="方正黑体_GBK" w:eastAsia="方正黑体_GBK" w:cs="方正黑体_GBK"/>
          <w:spacing w:val="40"/>
        </w:rPr>
        <w:t xml:space="preserve"> </w:t>
      </w:r>
      <w:r>
        <w:rPr>
          <w:spacing w:val="-4"/>
        </w:rPr>
        <w:t>1</w:t>
      </w:r>
    </w:p>
    <w:p w14:paraId="1ED92A03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玉峰山镇临时治丧中心</w:t>
      </w:r>
      <w:r>
        <w:rPr>
          <w:rFonts w:hint="eastAsia" w:ascii="方正小标宋_GBK" w:eastAsia="方正小标宋_GBK"/>
          <w:sz w:val="44"/>
          <w:szCs w:val="44"/>
        </w:rPr>
        <w:t>基本殡葬服务收费项目</w:t>
      </w:r>
    </w:p>
    <w:p w14:paraId="62815C3F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及收费标准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57"/>
        <w:gridCol w:w="884"/>
        <w:gridCol w:w="1154"/>
        <w:gridCol w:w="5744"/>
      </w:tblGrid>
      <w:tr w14:paraId="7AB9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4E838900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收 费 项 目</w:t>
            </w:r>
          </w:p>
        </w:tc>
        <w:tc>
          <w:tcPr>
            <w:tcW w:w="884" w:type="dxa"/>
            <w:noWrap w:val="0"/>
            <w:vAlign w:val="center"/>
          </w:tcPr>
          <w:p w14:paraId="2805878D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计 费</w:t>
            </w:r>
          </w:p>
          <w:p w14:paraId="34CFCE7F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单 位</w:t>
            </w:r>
          </w:p>
        </w:tc>
        <w:tc>
          <w:tcPr>
            <w:tcW w:w="1154" w:type="dxa"/>
            <w:noWrap w:val="0"/>
            <w:vAlign w:val="center"/>
          </w:tcPr>
          <w:p w14:paraId="4A26417F">
            <w:pPr>
              <w:spacing w:line="300" w:lineRule="exact"/>
              <w:jc w:val="both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收费标准（元）</w:t>
            </w:r>
          </w:p>
        </w:tc>
        <w:tc>
          <w:tcPr>
            <w:tcW w:w="5744" w:type="dxa"/>
            <w:noWrap w:val="0"/>
            <w:vAlign w:val="center"/>
          </w:tcPr>
          <w:p w14:paraId="0B60D260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备      注</w:t>
            </w:r>
          </w:p>
        </w:tc>
      </w:tr>
      <w:tr w14:paraId="351E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70DB36EA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一、遗体接运费</w:t>
            </w:r>
          </w:p>
        </w:tc>
      </w:tr>
      <w:tr w14:paraId="50E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70" w:type="dxa"/>
            <w:vMerge w:val="restart"/>
            <w:noWrap w:val="0"/>
            <w:vAlign w:val="center"/>
          </w:tcPr>
          <w:p w14:paraId="48FDD2D3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1、普通殡仪车接运</w:t>
            </w:r>
          </w:p>
        </w:tc>
        <w:tc>
          <w:tcPr>
            <w:tcW w:w="657" w:type="dxa"/>
            <w:noWrap w:val="0"/>
            <w:vAlign w:val="center"/>
          </w:tcPr>
          <w:p w14:paraId="15295026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20公里以内</w:t>
            </w:r>
          </w:p>
        </w:tc>
        <w:tc>
          <w:tcPr>
            <w:tcW w:w="884" w:type="dxa"/>
            <w:noWrap w:val="0"/>
            <w:vAlign w:val="center"/>
          </w:tcPr>
          <w:p w14:paraId="62694C7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58B71B7E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160</w:t>
            </w:r>
          </w:p>
        </w:tc>
        <w:tc>
          <w:tcPr>
            <w:tcW w:w="5744" w:type="dxa"/>
            <w:vMerge w:val="restart"/>
            <w:noWrap w:val="0"/>
            <w:vAlign w:val="center"/>
          </w:tcPr>
          <w:p w14:paraId="07CF8D8C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按渝价（2008）463号文执行。购价在20万元以下为普通殡仪车，购价在20万元以上为高档殡仪车。</w:t>
            </w:r>
          </w:p>
        </w:tc>
      </w:tr>
      <w:tr w14:paraId="7D57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70" w:type="dxa"/>
            <w:vMerge w:val="continue"/>
            <w:noWrap w:val="0"/>
            <w:vAlign w:val="center"/>
          </w:tcPr>
          <w:p w14:paraId="776003A6">
            <w:pPr>
              <w:spacing w:line="300" w:lineRule="exact"/>
              <w:rPr>
                <w:sz w:val="22"/>
                <w:szCs w:val="2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22B208C">
            <w:pPr>
              <w:spacing w:line="300" w:lineRule="exact"/>
              <w:rPr>
                <w:rFonts w:hint="eastAsia"/>
                <w:sz w:val="22"/>
                <w:szCs w:val="28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超出20公里</w:t>
            </w:r>
          </w:p>
        </w:tc>
        <w:tc>
          <w:tcPr>
            <w:tcW w:w="884" w:type="dxa"/>
            <w:noWrap w:val="0"/>
            <w:vAlign w:val="center"/>
          </w:tcPr>
          <w:p w14:paraId="7990A18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具/公里</w:t>
            </w:r>
          </w:p>
        </w:tc>
        <w:tc>
          <w:tcPr>
            <w:tcW w:w="1154" w:type="dxa"/>
            <w:noWrap w:val="0"/>
            <w:vAlign w:val="center"/>
          </w:tcPr>
          <w:p w14:paraId="3B1972FD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5</w:t>
            </w:r>
          </w:p>
        </w:tc>
        <w:tc>
          <w:tcPr>
            <w:tcW w:w="5744" w:type="dxa"/>
            <w:vMerge w:val="continue"/>
            <w:noWrap w:val="0"/>
            <w:vAlign w:val="center"/>
          </w:tcPr>
          <w:p w14:paraId="274A80FF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</w:tr>
      <w:tr w14:paraId="7C1B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2A94C02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 xml:space="preserve">2、收殓抬运 </w:t>
            </w:r>
          </w:p>
        </w:tc>
        <w:tc>
          <w:tcPr>
            <w:tcW w:w="884" w:type="dxa"/>
            <w:noWrap w:val="0"/>
            <w:vAlign w:val="center"/>
          </w:tcPr>
          <w:p w14:paraId="1EE6FCF0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具/100米</w:t>
            </w:r>
          </w:p>
        </w:tc>
        <w:tc>
          <w:tcPr>
            <w:tcW w:w="1154" w:type="dxa"/>
            <w:noWrap w:val="0"/>
            <w:vAlign w:val="center"/>
          </w:tcPr>
          <w:p w14:paraId="39451B05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300</w:t>
            </w:r>
          </w:p>
        </w:tc>
        <w:tc>
          <w:tcPr>
            <w:tcW w:w="5744" w:type="dxa"/>
            <w:noWrap w:val="0"/>
            <w:vAlign w:val="center"/>
          </w:tcPr>
          <w:p w14:paraId="2FDA76C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收殓、抬运、上、下车，尸袋。地面水平距离不足50米按50米计，每超过50米加收20元。楼房4层以内（含4层），每超一层加收20元，使用电梯不加收费用。传染病、腐败、破碎、凶杀、交通事故、中毒、溺水等非正常死亡遗体加收50%。</w:t>
            </w:r>
          </w:p>
        </w:tc>
      </w:tr>
      <w:tr w14:paraId="26DC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6DB3B0C4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二、遗体殡殓费</w:t>
            </w:r>
          </w:p>
        </w:tc>
      </w:tr>
      <w:tr w14:paraId="3942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62BCD2E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1、遗体消毒、整理</w:t>
            </w:r>
          </w:p>
        </w:tc>
        <w:tc>
          <w:tcPr>
            <w:tcW w:w="884" w:type="dxa"/>
            <w:noWrap w:val="0"/>
            <w:vAlign w:val="center"/>
          </w:tcPr>
          <w:p w14:paraId="1F72F555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5D8E6389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300</w:t>
            </w:r>
          </w:p>
        </w:tc>
        <w:tc>
          <w:tcPr>
            <w:tcW w:w="5744" w:type="dxa"/>
            <w:noWrap w:val="0"/>
            <w:vAlign w:val="center"/>
          </w:tcPr>
          <w:p w14:paraId="175EE87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含下车、消毒、整理、消毒材料。传染病、腐败、破碎、凶杀、交通事故、中毒、溺水等非正常死亡遗体加收50%。</w:t>
            </w:r>
          </w:p>
        </w:tc>
      </w:tr>
      <w:tr w14:paraId="6D05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15C7EDDB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▲2、冷藏柜停放</w:t>
            </w:r>
          </w:p>
        </w:tc>
        <w:tc>
          <w:tcPr>
            <w:tcW w:w="884" w:type="dxa"/>
            <w:noWrap w:val="0"/>
            <w:vAlign w:val="center"/>
          </w:tcPr>
          <w:p w14:paraId="21EDAF45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具/小时</w:t>
            </w:r>
          </w:p>
        </w:tc>
        <w:tc>
          <w:tcPr>
            <w:tcW w:w="1154" w:type="dxa"/>
            <w:noWrap w:val="0"/>
            <w:vAlign w:val="center"/>
          </w:tcPr>
          <w:p w14:paraId="71E5A5ED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6</w:t>
            </w:r>
          </w:p>
        </w:tc>
        <w:tc>
          <w:tcPr>
            <w:tcW w:w="5744" w:type="dxa"/>
            <w:noWrap w:val="0"/>
            <w:vAlign w:val="center"/>
          </w:tcPr>
          <w:p w14:paraId="765DE44A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含遗体进、出柜。传染病、腐败、破碎、凶杀、交通事故、中毒、溺水等非正常死亡遗体加收50%。</w:t>
            </w:r>
          </w:p>
        </w:tc>
      </w:tr>
      <w:tr w14:paraId="2E34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4DECF0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▲3、穿脱衣物</w:t>
            </w:r>
          </w:p>
        </w:tc>
        <w:tc>
          <w:tcPr>
            <w:tcW w:w="884" w:type="dxa"/>
            <w:noWrap w:val="0"/>
            <w:vAlign w:val="center"/>
          </w:tcPr>
          <w:p w14:paraId="3790EEA4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5C9E3973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180</w:t>
            </w:r>
          </w:p>
        </w:tc>
        <w:tc>
          <w:tcPr>
            <w:tcW w:w="5744" w:type="dxa"/>
            <w:noWrap w:val="0"/>
            <w:vAlign w:val="center"/>
          </w:tcPr>
          <w:p w14:paraId="5EE041A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含3套以内衣物的脱、穿。传染病、腐败、破碎、凶杀、交通事故、中毒、溺水等非正常死亡遗体加收50%。</w:t>
            </w:r>
          </w:p>
        </w:tc>
      </w:tr>
      <w:tr w14:paraId="307C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7E17BE8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4、普通整容</w:t>
            </w:r>
          </w:p>
        </w:tc>
        <w:tc>
          <w:tcPr>
            <w:tcW w:w="884" w:type="dxa"/>
            <w:noWrap w:val="0"/>
            <w:vAlign w:val="center"/>
          </w:tcPr>
          <w:p w14:paraId="18E1AD1E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F6BCD30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  <w:tc>
          <w:tcPr>
            <w:tcW w:w="5744" w:type="dxa"/>
            <w:noWrap w:val="0"/>
            <w:vAlign w:val="center"/>
          </w:tcPr>
          <w:p w14:paraId="40B03AA0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</w:p>
        </w:tc>
      </w:tr>
      <w:tr w14:paraId="005A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432DC3F4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▲(1)一般化妆</w:t>
            </w:r>
          </w:p>
        </w:tc>
        <w:tc>
          <w:tcPr>
            <w:tcW w:w="884" w:type="dxa"/>
            <w:noWrap w:val="0"/>
            <w:vAlign w:val="center"/>
          </w:tcPr>
          <w:p w14:paraId="129A9FAF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2E7FF367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200</w:t>
            </w:r>
          </w:p>
        </w:tc>
        <w:tc>
          <w:tcPr>
            <w:tcW w:w="5744" w:type="dxa"/>
            <w:noWrap w:val="0"/>
            <w:vAlign w:val="center"/>
          </w:tcPr>
          <w:p w14:paraId="0461FCDB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含面部清洁、化妆，材料。传染病、腐败、破碎、凶杀、交通事故、中毒、溺水等非正常死亡遗体加收50%。</w:t>
            </w:r>
          </w:p>
        </w:tc>
      </w:tr>
      <w:tr w14:paraId="53F7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D46DBC7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▲(2)一般整容</w:t>
            </w:r>
          </w:p>
        </w:tc>
        <w:tc>
          <w:tcPr>
            <w:tcW w:w="884" w:type="dxa"/>
            <w:noWrap w:val="0"/>
            <w:vAlign w:val="center"/>
          </w:tcPr>
          <w:p w14:paraId="78B90C13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具</w:t>
            </w:r>
          </w:p>
        </w:tc>
        <w:tc>
          <w:tcPr>
            <w:tcW w:w="1154" w:type="dxa"/>
            <w:noWrap w:val="0"/>
            <w:vAlign w:val="center"/>
          </w:tcPr>
          <w:p w14:paraId="6B2B91E4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350</w:t>
            </w:r>
          </w:p>
        </w:tc>
        <w:tc>
          <w:tcPr>
            <w:tcW w:w="5744" w:type="dxa"/>
            <w:noWrap w:val="0"/>
            <w:vAlign w:val="center"/>
          </w:tcPr>
          <w:p w14:paraId="5E5E34D5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含面部清洁、理发、修面、画眉、化妆，材料。传染病、腐败、破碎、凶杀、交通事故、中毒、溺水等非正常死亡遗体加收50%。</w:t>
            </w:r>
          </w:p>
        </w:tc>
      </w:tr>
      <w:tr w14:paraId="442F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7BD4E98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三、遗体殡仪费</w:t>
            </w:r>
          </w:p>
        </w:tc>
      </w:tr>
      <w:tr w14:paraId="6810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2546F33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▲守灵治丧厅租用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18932894">
            <w:pPr>
              <w:spacing w:line="300" w:lineRule="exact"/>
              <w:jc w:val="center"/>
              <w:rPr>
                <w:rFonts w:hint="default" w:ascii="方正仿宋_GBK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详见</w:t>
            </w:r>
            <w:r>
              <w:rPr>
                <w:rFonts w:hint="eastAsia" w:ascii="方正仿宋_GBK" w:eastAsia="方正仿宋_GBK"/>
                <w:sz w:val="22"/>
                <w:szCs w:val="22"/>
                <w:lang w:val="en-US" w:eastAsia="zh-CN"/>
              </w:rPr>
              <w:t>附件2</w:t>
            </w:r>
          </w:p>
        </w:tc>
      </w:tr>
      <w:tr w14:paraId="7C18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7EA02F3C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方正仿宋_GBK" w:eastAsia="方正仿宋_GBK"/>
                <w:sz w:val="22"/>
                <w:szCs w:val="22"/>
              </w:rPr>
              <w:t>、骨灰寄存费</w:t>
            </w:r>
          </w:p>
        </w:tc>
      </w:tr>
      <w:tr w14:paraId="3B2C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6C543C71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▲1</w:t>
            </w:r>
            <w:r>
              <w:rPr>
                <w:rFonts w:hint="eastAsia" w:ascii="方正仿宋_GBK" w:eastAsia="方正仿宋_GBK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2"/>
                <w:szCs w:val="22"/>
              </w:rPr>
              <w:t>长期寄存</w:t>
            </w:r>
          </w:p>
        </w:tc>
        <w:tc>
          <w:tcPr>
            <w:tcW w:w="884" w:type="dxa"/>
            <w:noWrap w:val="0"/>
            <w:vAlign w:val="center"/>
          </w:tcPr>
          <w:p w14:paraId="7695E999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盒/年</w:t>
            </w:r>
          </w:p>
        </w:tc>
        <w:tc>
          <w:tcPr>
            <w:tcW w:w="1154" w:type="dxa"/>
            <w:noWrap w:val="0"/>
            <w:vAlign w:val="center"/>
          </w:tcPr>
          <w:p w14:paraId="6C1E4D8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高档150；中档130；低挡60。</w:t>
            </w:r>
          </w:p>
        </w:tc>
        <w:tc>
          <w:tcPr>
            <w:tcW w:w="5744" w:type="dxa"/>
            <w:noWrap w:val="0"/>
            <w:vAlign w:val="center"/>
          </w:tcPr>
          <w:p w14:paraId="29976FD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按渝价（2008）463号文执行。含骨灰盒的安放、保管，骨灰安放证。</w:t>
            </w:r>
          </w:p>
        </w:tc>
      </w:tr>
      <w:tr w14:paraId="6E1D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144C71BE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▲2、短期寄存</w:t>
            </w:r>
          </w:p>
        </w:tc>
        <w:tc>
          <w:tcPr>
            <w:tcW w:w="884" w:type="dxa"/>
            <w:noWrap w:val="0"/>
            <w:vAlign w:val="center"/>
          </w:tcPr>
          <w:p w14:paraId="53DEE45B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盒/月</w:t>
            </w:r>
          </w:p>
        </w:tc>
        <w:tc>
          <w:tcPr>
            <w:tcW w:w="1154" w:type="dxa"/>
            <w:noWrap w:val="0"/>
            <w:vAlign w:val="center"/>
          </w:tcPr>
          <w:p w14:paraId="5BD9FF28">
            <w:pPr>
              <w:spacing w:line="300" w:lineRule="exact"/>
              <w:jc w:val="center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20</w:t>
            </w:r>
          </w:p>
        </w:tc>
        <w:tc>
          <w:tcPr>
            <w:tcW w:w="5744" w:type="dxa"/>
            <w:noWrap w:val="0"/>
            <w:vAlign w:val="center"/>
          </w:tcPr>
          <w:p w14:paraId="7A983ADD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以一个月为计费单位。</w:t>
            </w:r>
          </w:p>
        </w:tc>
      </w:tr>
      <w:tr w14:paraId="4890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9" w:type="dxa"/>
            <w:gridSpan w:val="5"/>
            <w:noWrap w:val="0"/>
            <w:vAlign w:val="center"/>
          </w:tcPr>
          <w:p w14:paraId="053B452F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>注：1、标注“▲”号的项目为丧属可以自愿选择的收费项目。</w:t>
            </w:r>
          </w:p>
          <w:p w14:paraId="00D93770">
            <w:pPr>
              <w:spacing w:line="300" w:lineRule="exact"/>
              <w:rPr>
                <w:rFonts w:hint="eastAsia" w:ascii="方正仿宋_GBK" w:eastAsia="方正仿宋_GBK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sz w:val="22"/>
                <w:szCs w:val="22"/>
              </w:rPr>
              <w:t xml:space="preserve">    2、殡仪馆正常作息时间为8:00—18:00，其余时间为加班时间，加班时间提供的遗体接运、遗体殡殓、遗体火化等服务费加收20%。</w:t>
            </w:r>
          </w:p>
        </w:tc>
      </w:tr>
    </w:tbl>
    <w:p w14:paraId="28A10D8F">
      <w:pPr>
        <w:pStyle w:val="3"/>
        <w:spacing w:before="115" w:line="207" w:lineRule="auto"/>
      </w:pPr>
      <w:r>
        <w:rPr>
          <w:rFonts w:ascii="方正黑体_GBK" w:hAnsi="方正黑体_GBK" w:eastAsia="方正黑体_GBK" w:cs="方正黑体_GBK"/>
          <w:spacing w:val="-4"/>
        </w:rPr>
        <w:t>附件</w:t>
      </w:r>
      <w:r>
        <w:rPr>
          <w:rFonts w:ascii="方正黑体_GBK" w:hAnsi="方正黑体_GBK" w:eastAsia="方正黑体_GBK" w:cs="方正黑体_GBK"/>
          <w:spacing w:val="13"/>
        </w:rPr>
        <w:t xml:space="preserve"> </w:t>
      </w:r>
      <w:r>
        <w:rPr>
          <w:spacing w:val="-4"/>
        </w:rPr>
        <w:t>2</w:t>
      </w:r>
    </w:p>
    <w:p w14:paraId="3550E14E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玉峰山镇临时治丧中心</w:t>
      </w:r>
      <w:r>
        <w:rPr>
          <w:rFonts w:hint="eastAsia" w:ascii="方正小标宋_GBK" w:eastAsia="方正小标宋_GBK"/>
          <w:sz w:val="44"/>
          <w:szCs w:val="44"/>
        </w:rPr>
        <w:t>守灵治丧厅租用</w:t>
      </w:r>
    </w:p>
    <w:p w14:paraId="5A7B57DF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收费标准</w:t>
      </w:r>
    </w:p>
    <w:p w14:paraId="39B631FA">
      <w:pPr>
        <w:spacing w:line="146" w:lineRule="exact"/>
      </w:pPr>
    </w:p>
    <w:tbl>
      <w:tblPr>
        <w:tblStyle w:val="18"/>
        <w:tblW w:w="9480" w:type="dxa"/>
        <w:tblInd w:w="-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49"/>
        <w:gridCol w:w="756"/>
        <w:gridCol w:w="6210"/>
      </w:tblGrid>
      <w:tr w14:paraId="45299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365" w:type="dxa"/>
            <w:vAlign w:val="center"/>
          </w:tcPr>
          <w:p w14:paraId="1328EF16">
            <w:pPr>
              <w:spacing w:line="40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厅堂名称  (使用面积)</w:t>
            </w:r>
          </w:p>
        </w:tc>
        <w:tc>
          <w:tcPr>
            <w:tcW w:w="1149" w:type="dxa"/>
            <w:vAlign w:val="center"/>
          </w:tcPr>
          <w:p w14:paraId="5369F93B">
            <w:pPr>
              <w:spacing w:line="40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计费单位</w:t>
            </w:r>
          </w:p>
        </w:tc>
        <w:tc>
          <w:tcPr>
            <w:tcW w:w="756" w:type="dxa"/>
            <w:vAlign w:val="center"/>
          </w:tcPr>
          <w:p w14:paraId="776E4EDF">
            <w:pPr>
              <w:spacing w:line="400" w:lineRule="exact"/>
              <w:jc w:val="center"/>
              <w:rPr>
                <w:rFonts w:hint="default" w:ascii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/>
                <w:b/>
                <w:sz w:val="28"/>
                <w:szCs w:val="28"/>
                <w:lang w:val="en-US" w:eastAsia="zh-CN"/>
              </w:rPr>
              <w:t>收费标准 （元）</w:t>
            </w:r>
          </w:p>
        </w:tc>
        <w:tc>
          <w:tcPr>
            <w:tcW w:w="6210" w:type="dxa"/>
            <w:vAlign w:val="center"/>
          </w:tcPr>
          <w:p w14:paraId="4D1E33C1">
            <w:pPr>
              <w:spacing w:line="400" w:lineRule="exact"/>
              <w:jc w:val="center"/>
              <w:rPr>
                <w:rFonts w:hint="eastAsia" w:ascii="方正仿宋_GBK"/>
                <w:b/>
                <w:sz w:val="28"/>
                <w:szCs w:val="28"/>
              </w:rPr>
            </w:pPr>
            <w:r>
              <w:rPr>
                <w:rFonts w:hint="eastAsia" w:ascii="方正仿宋_GBK"/>
                <w:b/>
                <w:sz w:val="28"/>
                <w:szCs w:val="28"/>
              </w:rPr>
              <w:t>基本配置及装饰</w:t>
            </w:r>
          </w:p>
        </w:tc>
      </w:tr>
      <w:tr w14:paraId="44E8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5" w:type="dxa"/>
            <w:vAlign w:val="center"/>
          </w:tcPr>
          <w:p w14:paraId="7F83F21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福泽堂</w:t>
            </w:r>
          </w:p>
          <w:p w14:paraId="54313DD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（160㎡）</w:t>
            </w:r>
          </w:p>
        </w:tc>
        <w:tc>
          <w:tcPr>
            <w:tcW w:w="1149" w:type="dxa"/>
            <w:vAlign w:val="center"/>
          </w:tcPr>
          <w:p w14:paraId="422CABF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元/（次.三</w:t>
            </w:r>
          </w:p>
          <w:p w14:paraId="6800721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天内）</w:t>
            </w:r>
          </w:p>
        </w:tc>
        <w:tc>
          <w:tcPr>
            <w:tcW w:w="756" w:type="dxa"/>
            <w:vAlign w:val="center"/>
          </w:tcPr>
          <w:p w14:paraId="56FBB68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6500</w:t>
            </w:r>
          </w:p>
        </w:tc>
        <w:tc>
          <w:tcPr>
            <w:tcW w:w="6210" w:type="dxa"/>
            <w:vAlign w:val="center"/>
          </w:tcPr>
          <w:p w14:paraId="6E3995AB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配置：2台5P立式空调、沙发一组、 休息客房、供桌、冰棺、绢花2套、6 个绢花圈、遗像架、香烛一套、显示屏、饮水机、麻将机 3 张、方桌 2 张、凳子20个。</w:t>
            </w:r>
          </w:p>
        </w:tc>
      </w:tr>
      <w:tr w14:paraId="33242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65" w:type="dxa"/>
            <w:vAlign w:val="center"/>
          </w:tcPr>
          <w:p w14:paraId="4BB8568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福安堂  （140㎡）</w:t>
            </w:r>
          </w:p>
        </w:tc>
        <w:tc>
          <w:tcPr>
            <w:tcW w:w="1149" w:type="dxa"/>
            <w:vAlign w:val="center"/>
          </w:tcPr>
          <w:p w14:paraId="4CF40F5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元/（次.三天内）</w:t>
            </w:r>
          </w:p>
        </w:tc>
        <w:tc>
          <w:tcPr>
            <w:tcW w:w="756" w:type="dxa"/>
            <w:vAlign w:val="center"/>
          </w:tcPr>
          <w:p w14:paraId="0D860D4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5500</w:t>
            </w:r>
          </w:p>
        </w:tc>
        <w:tc>
          <w:tcPr>
            <w:tcW w:w="6210" w:type="dxa"/>
            <w:vAlign w:val="center"/>
          </w:tcPr>
          <w:p w14:paraId="4B6F5260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配置：2台立式空调、接待用厅一个、沙发一组、休息客房、供桌、冰棺、绢花2套、6个绢花圈、遗像架、香烛一套、饮水机、麻将机3张、方桌2 张、凳子20个。</w:t>
            </w:r>
          </w:p>
        </w:tc>
      </w:tr>
      <w:tr w14:paraId="109EC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5" w:type="dxa"/>
            <w:vAlign w:val="center"/>
          </w:tcPr>
          <w:p w14:paraId="28BBD8C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寿安堂</w:t>
            </w:r>
          </w:p>
          <w:p w14:paraId="265564E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（140㎡）</w:t>
            </w:r>
          </w:p>
        </w:tc>
        <w:tc>
          <w:tcPr>
            <w:tcW w:w="1149" w:type="dxa"/>
            <w:vAlign w:val="center"/>
          </w:tcPr>
          <w:p w14:paraId="7A7E809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元/（次.三天内）</w:t>
            </w:r>
          </w:p>
        </w:tc>
        <w:tc>
          <w:tcPr>
            <w:tcW w:w="756" w:type="dxa"/>
            <w:vAlign w:val="center"/>
          </w:tcPr>
          <w:p w14:paraId="135F633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5200</w:t>
            </w:r>
          </w:p>
        </w:tc>
        <w:tc>
          <w:tcPr>
            <w:tcW w:w="6210" w:type="dxa"/>
            <w:vAlign w:val="center"/>
          </w:tcPr>
          <w:p w14:paraId="09E22D75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配置：2台立式空调、沙发一组、休息室、供桌、冰棺、6个绢花圈、仿真供品、遗像架、香烛一套、饮水机、 麻将机2张、方桌1张、 茶几1张、椅子4张、凳子20个。</w:t>
            </w:r>
          </w:p>
        </w:tc>
      </w:tr>
      <w:tr w14:paraId="5887A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5" w:type="dxa"/>
            <w:vAlign w:val="center"/>
          </w:tcPr>
          <w:p w14:paraId="500F3DC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怀恩厅</w:t>
            </w:r>
          </w:p>
          <w:p w14:paraId="505AB8E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（70㎡）</w:t>
            </w:r>
          </w:p>
        </w:tc>
        <w:tc>
          <w:tcPr>
            <w:tcW w:w="1149" w:type="dxa"/>
            <w:vAlign w:val="center"/>
          </w:tcPr>
          <w:p w14:paraId="0D0C703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元/（次.三天内）</w:t>
            </w:r>
          </w:p>
        </w:tc>
        <w:tc>
          <w:tcPr>
            <w:tcW w:w="756" w:type="dxa"/>
            <w:vAlign w:val="center"/>
          </w:tcPr>
          <w:p w14:paraId="034FF0B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6210" w:type="dxa"/>
            <w:vAlign w:val="center"/>
          </w:tcPr>
          <w:p w14:paraId="410678D7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配置：1台立式空调、沙发一组、休息室、供桌、冰棺、4个绢花圈、仿真供品、遗像架、 香烛一套，饮水机、方桌1张、 茶几1张、椅子4张、凳子20个。</w:t>
            </w:r>
          </w:p>
        </w:tc>
      </w:tr>
      <w:tr w14:paraId="7C67B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365" w:type="dxa"/>
            <w:vAlign w:val="center"/>
          </w:tcPr>
          <w:p w14:paraId="619C69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祥和厅</w:t>
            </w:r>
          </w:p>
          <w:p w14:paraId="66E4EB7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（54㎡）</w:t>
            </w:r>
          </w:p>
        </w:tc>
        <w:tc>
          <w:tcPr>
            <w:tcW w:w="1149" w:type="dxa"/>
            <w:vAlign w:val="center"/>
          </w:tcPr>
          <w:p w14:paraId="1429F25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元/（次.三天内）</w:t>
            </w:r>
          </w:p>
        </w:tc>
        <w:tc>
          <w:tcPr>
            <w:tcW w:w="756" w:type="dxa"/>
            <w:vAlign w:val="center"/>
          </w:tcPr>
          <w:p w14:paraId="574E595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6210" w:type="dxa"/>
            <w:vAlign w:val="center"/>
          </w:tcPr>
          <w:p w14:paraId="64BA5EF7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配置：1台立式空调、沙发一组、休息室、供桌、冰棺、4个绢花圈、仿真供品、遗像架、香烛一套、饮水机、方桌1张、茶几1张、椅子4张、凳子20个。</w:t>
            </w:r>
          </w:p>
        </w:tc>
      </w:tr>
    </w:tbl>
    <w:p w14:paraId="16B0748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560" w:lineRule="exact"/>
        <w:ind w:left="120"/>
        <w:textAlignment w:val="auto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pacing w:val="-2"/>
          <w:sz w:val="32"/>
          <w:szCs w:val="32"/>
        </w:rPr>
        <w:t>注：租用期超过 3 天的，每天按其租用厅价格的三分之一收取。</w:t>
      </w:r>
    </w:p>
    <w:p w14:paraId="07B0B19C">
      <w:pPr>
        <w:spacing w:line="400" w:lineRule="exact"/>
        <w:jc w:val="center"/>
        <w:rPr>
          <w:rFonts w:hint="eastAsia" w:ascii="方正仿宋_GBK" w:eastAsia="方正仿宋_GBK"/>
          <w:sz w:val="28"/>
          <w:szCs w:val="28"/>
        </w:rPr>
      </w:pPr>
    </w:p>
    <w:p w14:paraId="0696A473"/>
    <w:p w14:paraId="76F5BE34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39"/>
          <w:pgMar w:top="1431" w:right="1334" w:bottom="1308" w:left="1452" w:header="0" w:footer="1004" w:gutter="0"/>
          <w:pgNumType w:fmt="decimal"/>
          <w:cols w:space="720" w:num="1"/>
        </w:sectPr>
      </w:pPr>
    </w:p>
    <w:p w14:paraId="3E3706E9">
      <w:pPr>
        <w:tabs>
          <w:tab w:val="left" w:pos="611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E1820">
    <w:pPr>
      <w:pStyle w:val="3"/>
      <w:spacing w:before="1" w:line="172" w:lineRule="auto"/>
      <w:ind w:left="779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EAD21">
                          <w:pPr>
                            <w:pStyle w:val="4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11EAD21">
                    <w:pPr>
                      <w:pStyle w:val="4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TA5NGVkYTY0ZDMwNzY4ZTMzYmExZmM1Mzc4MmEifQ=="/>
  </w:docVars>
  <w:rsids>
    <w:rsidRoot w:val="00000000"/>
    <w:rsid w:val="004A6002"/>
    <w:rsid w:val="00593490"/>
    <w:rsid w:val="008B73C2"/>
    <w:rsid w:val="00F9432B"/>
    <w:rsid w:val="01001B5E"/>
    <w:rsid w:val="015123B9"/>
    <w:rsid w:val="016A347B"/>
    <w:rsid w:val="01916C5A"/>
    <w:rsid w:val="01CA3F1A"/>
    <w:rsid w:val="01FD609D"/>
    <w:rsid w:val="02251150"/>
    <w:rsid w:val="022655F4"/>
    <w:rsid w:val="0233330C"/>
    <w:rsid w:val="05340028"/>
    <w:rsid w:val="05860D16"/>
    <w:rsid w:val="05A01219"/>
    <w:rsid w:val="05CF7D50"/>
    <w:rsid w:val="069A210C"/>
    <w:rsid w:val="0730481F"/>
    <w:rsid w:val="076A6BE8"/>
    <w:rsid w:val="07B62F76"/>
    <w:rsid w:val="08105554"/>
    <w:rsid w:val="083E4D1A"/>
    <w:rsid w:val="087F5A5E"/>
    <w:rsid w:val="08D12032"/>
    <w:rsid w:val="090E0B90"/>
    <w:rsid w:val="09A432A2"/>
    <w:rsid w:val="09BF1E8A"/>
    <w:rsid w:val="09DE4A06"/>
    <w:rsid w:val="09F922B8"/>
    <w:rsid w:val="0A2B719E"/>
    <w:rsid w:val="0A3C34DB"/>
    <w:rsid w:val="0A6F38B0"/>
    <w:rsid w:val="0AB204F6"/>
    <w:rsid w:val="0B26152B"/>
    <w:rsid w:val="0B4E1717"/>
    <w:rsid w:val="0B723658"/>
    <w:rsid w:val="0B923CFA"/>
    <w:rsid w:val="0CB16402"/>
    <w:rsid w:val="0D1F336B"/>
    <w:rsid w:val="0DC35F97"/>
    <w:rsid w:val="0E26072A"/>
    <w:rsid w:val="0E9B4C74"/>
    <w:rsid w:val="0FBC1346"/>
    <w:rsid w:val="0FF4212F"/>
    <w:rsid w:val="100827DD"/>
    <w:rsid w:val="1090632E"/>
    <w:rsid w:val="10A67900"/>
    <w:rsid w:val="10B262A5"/>
    <w:rsid w:val="114C66F9"/>
    <w:rsid w:val="11A93B4C"/>
    <w:rsid w:val="11EB5F12"/>
    <w:rsid w:val="11F50B3F"/>
    <w:rsid w:val="1354132A"/>
    <w:rsid w:val="13E240B9"/>
    <w:rsid w:val="14937153"/>
    <w:rsid w:val="15977889"/>
    <w:rsid w:val="16C64858"/>
    <w:rsid w:val="174B2FAF"/>
    <w:rsid w:val="178169D1"/>
    <w:rsid w:val="17836AE0"/>
    <w:rsid w:val="17BB0135"/>
    <w:rsid w:val="186C7681"/>
    <w:rsid w:val="18925339"/>
    <w:rsid w:val="19987B5D"/>
    <w:rsid w:val="19B80DD0"/>
    <w:rsid w:val="19EA6AAF"/>
    <w:rsid w:val="1A3B37AF"/>
    <w:rsid w:val="1A6C5716"/>
    <w:rsid w:val="1A9A6727"/>
    <w:rsid w:val="1AAC4C79"/>
    <w:rsid w:val="1ADA6B24"/>
    <w:rsid w:val="1B065B6B"/>
    <w:rsid w:val="1BCD48DA"/>
    <w:rsid w:val="1BD45C69"/>
    <w:rsid w:val="1BEC2FB3"/>
    <w:rsid w:val="1D0B7468"/>
    <w:rsid w:val="1D3369BF"/>
    <w:rsid w:val="1D3E1C2A"/>
    <w:rsid w:val="1DD07DBA"/>
    <w:rsid w:val="1EE2069D"/>
    <w:rsid w:val="1F413615"/>
    <w:rsid w:val="1F5F584A"/>
    <w:rsid w:val="1F8B663F"/>
    <w:rsid w:val="1FB060A5"/>
    <w:rsid w:val="1FCD4EA9"/>
    <w:rsid w:val="1FF57F5C"/>
    <w:rsid w:val="1FF656C0"/>
    <w:rsid w:val="20C75D9C"/>
    <w:rsid w:val="20DF25DC"/>
    <w:rsid w:val="20F12E19"/>
    <w:rsid w:val="213B6F26"/>
    <w:rsid w:val="215533A8"/>
    <w:rsid w:val="215C64E4"/>
    <w:rsid w:val="219A700D"/>
    <w:rsid w:val="224A27E1"/>
    <w:rsid w:val="234731C4"/>
    <w:rsid w:val="236C49D9"/>
    <w:rsid w:val="241C01AD"/>
    <w:rsid w:val="2480698E"/>
    <w:rsid w:val="24FE0427"/>
    <w:rsid w:val="25506360"/>
    <w:rsid w:val="255B2F57"/>
    <w:rsid w:val="2593449F"/>
    <w:rsid w:val="260C53CA"/>
    <w:rsid w:val="268D7140"/>
    <w:rsid w:val="26D91E8B"/>
    <w:rsid w:val="26EC1B53"/>
    <w:rsid w:val="273A384A"/>
    <w:rsid w:val="2775580E"/>
    <w:rsid w:val="27765E26"/>
    <w:rsid w:val="28D15A0A"/>
    <w:rsid w:val="29FF65A7"/>
    <w:rsid w:val="2A070FB7"/>
    <w:rsid w:val="2AA1140C"/>
    <w:rsid w:val="2AFE685E"/>
    <w:rsid w:val="2CD535EF"/>
    <w:rsid w:val="2DBE22D5"/>
    <w:rsid w:val="2DF47AA5"/>
    <w:rsid w:val="2E0B376C"/>
    <w:rsid w:val="2E2E745B"/>
    <w:rsid w:val="2E690493"/>
    <w:rsid w:val="2E706995"/>
    <w:rsid w:val="2E742A02"/>
    <w:rsid w:val="2E862DF3"/>
    <w:rsid w:val="2E982B26"/>
    <w:rsid w:val="2EC67693"/>
    <w:rsid w:val="2EF53AD4"/>
    <w:rsid w:val="2F642A08"/>
    <w:rsid w:val="2FA06136"/>
    <w:rsid w:val="310224D9"/>
    <w:rsid w:val="31091AB9"/>
    <w:rsid w:val="31D420C7"/>
    <w:rsid w:val="3220530C"/>
    <w:rsid w:val="32CE4D68"/>
    <w:rsid w:val="33044C2E"/>
    <w:rsid w:val="333746BC"/>
    <w:rsid w:val="333A41AC"/>
    <w:rsid w:val="333F7A14"/>
    <w:rsid w:val="33EA3E24"/>
    <w:rsid w:val="34190265"/>
    <w:rsid w:val="34200E6E"/>
    <w:rsid w:val="347B0F20"/>
    <w:rsid w:val="356A3382"/>
    <w:rsid w:val="35E328D9"/>
    <w:rsid w:val="35EB3E83"/>
    <w:rsid w:val="36696115"/>
    <w:rsid w:val="372A4537"/>
    <w:rsid w:val="37977E1F"/>
    <w:rsid w:val="38912AC0"/>
    <w:rsid w:val="38E2331B"/>
    <w:rsid w:val="396C7089"/>
    <w:rsid w:val="398B5761"/>
    <w:rsid w:val="3A103EB8"/>
    <w:rsid w:val="3A4F2C33"/>
    <w:rsid w:val="3ACD1DA9"/>
    <w:rsid w:val="3AFB2473"/>
    <w:rsid w:val="3B8A37F6"/>
    <w:rsid w:val="3BA42B0A"/>
    <w:rsid w:val="3C157564"/>
    <w:rsid w:val="3C245B02"/>
    <w:rsid w:val="3C3976F6"/>
    <w:rsid w:val="3C43187C"/>
    <w:rsid w:val="3C942B7F"/>
    <w:rsid w:val="3C9526DB"/>
    <w:rsid w:val="3CA31014"/>
    <w:rsid w:val="3CC316B6"/>
    <w:rsid w:val="3D0221DE"/>
    <w:rsid w:val="3D5C09B3"/>
    <w:rsid w:val="3DBD6105"/>
    <w:rsid w:val="3DDE2E5C"/>
    <w:rsid w:val="3E157CEF"/>
    <w:rsid w:val="3F033FEC"/>
    <w:rsid w:val="3F3204FB"/>
    <w:rsid w:val="3FBF43B6"/>
    <w:rsid w:val="40F005A0"/>
    <w:rsid w:val="410B5D24"/>
    <w:rsid w:val="411C75E7"/>
    <w:rsid w:val="41205106"/>
    <w:rsid w:val="416845DA"/>
    <w:rsid w:val="41847666"/>
    <w:rsid w:val="41C21F3C"/>
    <w:rsid w:val="41D34149"/>
    <w:rsid w:val="41E41EB2"/>
    <w:rsid w:val="4246566B"/>
    <w:rsid w:val="43242AA5"/>
    <w:rsid w:val="436C6603"/>
    <w:rsid w:val="43C51895"/>
    <w:rsid w:val="43FF4A09"/>
    <w:rsid w:val="442944F4"/>
    <w:rsid w:val="4456696C"/>
    <w:rsid w:val="445F3A72"/>
    <w:rsid w:val="45C60A07"/>
    <w:rsid w:val="46696E2A"/>
    <w:rsid w:val="46767799"/>
    <w:rsid w:val="46B362F7"/>
    <w:rsid w:val="4749618F"/>
    <w:rsid w:val="48643D4D"/>
    <w:rsid w:val="497F6965"/>
    <w:rsid w:val="49E36EF3"/>
    <w:rsid w:val="49F20EE5"/>
    <w:rsid w:val="4A4110E0"/>
    <w:rsid w:val="4A413C1A"/>
    <w:rsid w:val="4A712751"/>
    <w:rsid w:val="4A91694F"/>
    <w:rsid w:val="4AA85A47"/>
    <w:rsid w:val="4B103D18"/>
    <w:rsid w:val="4B3C4B0D"/>
    <w:rsid w:val="4B553E21"/>
    <w:rsid w:val="4B6A020A"/>
    <w:rsid w:val="4B7324F9"/>
    <w:rsid w:val="4BE551A5"/>
    <w:rsid w:val="4C0F2222"/>
    <w:rsid w:val="4C5145E8"/>
    <w:rsid w:val="4CE511D4"/>
    <w:rsid w:val="4D761E2D"/>
    <w:rsid w:val="4E3C3076"/>
    <w:rsid w:val="4E772300"/>
    <w:rsid w:val="4EEF00E8"/>
    <w:rsid w:val="4EF70D4B"/>
    <w:rsid w:val="4EFB6A8D"/>
    <w:rsid w:val="4F3B332E"/>
    <w:rsid w:val="4F786330"/>
    <w:rsid w:val="4FBC03C4"/>
    <w:rsid w:val="4FF05EC6"/>
    <w:rsid w:val="500F0A42"/>
    <w:rsid w:val="5019541D"/>
    <w:rsid w:val="508A1E77"/>
    <w:rsid w:val="511D0F3D"/>
    <w:rsid w:val="51501312"/>
    <w:rsid w:val="51C4585C"/>
    <w:rsid w:val="523E560F"/>
    <w:rsid w:val="525C3CE7"/>
    <w:rsid w:val="52E31D12"/>
    <w:rsid w:val="52F43F1F"/>
    <w:rsid w:val="53F35F85"/>
    <w:rsid w:val="53FE2DF3"/>
    <w:rsid w:val="542E6DA2"/>
    <w:rsid w:val="54CD2C7A"/>
    <w:rsid w:val="54E87AB4"/>
    <w:rsid w:val="55472A2C"/>
    <w:rsid w:val="55490CD1"/>
    <w:rsid w:val="560B0896"/>
    <w:rsid w:val="5627460C"/>
    <w:rsid w:val="56356D29"/>
    <w:rsid w:val="56847368"/>
    <w:rsid w:val="56E147BB"/>
    <w:rsid w:val="56E90D97"/>
    <w:rsid w:val="57081D47"/>
    <w:rsid w:val="57CA16F3"/>
    <w:rsid w:val="57E502DB"/>
    <w:rsid w:val="57F86260"/>
    <w:rsid w:val="597C07CB"/>
    <w:rsid w:val="59C363FA"/>
    <w:rsid w:val="59F34F31"/>
    <w:rsid w:val="59F42A57"/>
    <w:rsid w:val="5A0A227A"/>
    <w:rsid w:val="5A117165"/>
    <w:rsid w:val="5A13112F"/>
    <w:rsid w:val="5A331D8B"/>
    <w:rsid w:val="5A9C5403"/>
    <w:rsid w:val="5AB3021C"/>
    <w:rsid w:val="5B01542B"/>
    <w:rsid w:val="5B286E5C"/>
    <w:rsid w:val="5B4B66A7"/>
    <w:rsid w:val="5BAC35E9"/>
    <w:rsid w:val="5BED59B0"/>
    <w:rsid w:val="5C62014C"/>
    <w:rsid w:val="5C8C6F77"/>
    <w:rsid w:val="5D866A9A"/>
    <w:rsid w:val="5D89288F"/>
    <w:rsid w:val="5E581806"/>
    <w:rsid w:val="5E736640"/>
    <w:rsid w:val="5E7D126D"/>
    <w:rsid w:val="5EE25574"/>
    <w:rsid w:val="5F1D65AC"/>
    <w:rsid w:val="5F1F0576"/>
    <w:rsid w:val="5F917F2E"/>
    <w:rsid w:val="603B13E0"/>
    <w:rsid w:val="60536729"/>
    <w:rsid w:val="60F16397"/>
    <w:rsid w:val="612754C0"/>
    <w:rsid w:val="61377DF9"/>
    <w:rsid w:val="620A72BB"/>
    <w:rsid w:val="62747F5D"/>
    <w:rsid w:val="627E55B4"/>
    <w:rsid w:val="62907051"/>
    <w:rsid w:val="62970423"/>
    <w:rsid w:val="62EC69C1"/>
    <w:rsid w:val="636B3D8A"/>
    <w:rsid w:val="63C96D02"/>
    <w:rsid w:val="63F41FD1"/>
    <w:rsid w:val="64265F03"/>
    <w:rsid w:val="64633872"/>
    <w:rsid w:val="64F47DAF"/>
    <w:rsid w:val="65470905"/>
    <w:rsid w:val="656960A7"/>
    <w:rsid w:val="656F6ABE"/>
    <w:rsid w:val="65847385"/>
    <w:rsid w:val="669C24AC"/>
    <w:rsid w:val="66F978FF"/>
    <w:rsid w:val="67206C39"/>
    <w:rsid w:val="67220C03"/>
    <w:rsid w:val="679A2E90"/>
    <w:rsid w:val="67DB0DB2"/>
    <w:rsid w:val="68106986"/>
    <w:rsid w:val="683706DE"/>
    <w:rsid w:val="689A2A1B"/>
    <w:rsid w:val="68B95597"/>
    <w:rsid w:val="68C77CB4"/>
    <w:rsid w:val="6A647785"/>
    <w:rsid w:val="6A6B28C1"/>
    <w:rsid w:val="6AA06A0F"/>
    <w:rsid w:val="6AA3205B"/>
    <w:rsid w:val="6ACE4BFE"/>
    <w:rsid w:val="6B2D5DC9"/>
    <w:rsid w:val="6B4D0219"/>
    <w:rsid w:val="6BFE7383"/>
    <w:rsid w:val="6C376EFF"/>
    <w:rsid w:val="6C3D387D"/>
    <w:rsid w:val="6C97799E"/>
    <w:rsid w:val="6CB23CEB"/>
    <w:rsid w:val="6CEF2718"/>
    <w:rsid w:val="6D1159A2"/>
    <w:rsid w:val="6D94212F"/>
    <w:rsid w:val="6DAC56CB"/>
    <w:rsid w:val="6E565636"/>
    <w:rsid w:val="6EDD3662"/>
    <w:rsid w:val="6EE60768"/>
    <w:rsid w:val="6F0B01CF"/>
    <w:rsid w:val="6F593BF6"/>
    <w:rsid w:val="6F8166E3"/>
    <w:rsid w:val="70457711"/>
    <w:rsid w:val="70A94143"/>
    <w:rsid w:val="70B825D8"/>
    <w:rsid w:val="70F26BDA"/>
    <w:rsid w:val="711C4915"/>
    <w:rsid w:val="71B11502"/>
    <w:rsid w:val="724E4FA2"/>
    <w:rsid w:val="72FD0776"/>
    <w:rsid w:val="7372081D"/>
    <w:rsid w:val="73CD0149"/>
    <w:rsid w:val="743B50B2"/>
    <w:rsid w:val="74A562BE"/>
    <w:rsid w:val="752B15CB"/>
    <w:rsid w:val="753A180E"/>
    <w:rsid w:val="75623104"/>
    <w:rsid w:val="76932DB3"/>
    <w:rsid w:val="76E45ED5"/>
    <w:rsid w:val="77560455"/>
    <w:rsid w:val="77660689"/>
    <w:rsid w:val="77906DC2"/>
    <w:rsid w:val="781A1483"/>
    <w:rsid w:val="785706FE"/>
    <w:rsid w:val="790E64E6"/>
    <w:rsid w:val="79507852"/>
    <w:rsid w:val="795B1D53"/>
    <w:rsid w:val="79780B57"/>
    <w:rsid w:val="7A0F485F"/>
    <w:rsid w:val="7A230AC3"/>
    <w:rsid w:val="7A24483B"/>
    <w:rsid w:val="7A2B3E1B"/>
    <w:rsid w:val="7A5F6214"/>
    <w:rsid w:val="7A7E219D"/>
    <w:rsid w:val="7A947C2F"/>
    <w:rsid w:val="7AA02113"/>
    <w:rsid w:val="7B841A35"/>
    <w:rsid w:val="7BAE0860"/>
    <w:rsid w:val="7C1A4147"/>
    <w:rsid w:val="7C2A25DC"/>
    <w:rsid w:val="7D9D0B8C"/>
    <w:rsid w:val="7E53749D"/>
    <w:rsid w:val="7E635932"/>
    <w:rsid w:val="7E8104AE"/>
    <w:rsid w:val="7E9517DA"/>
    <w:rsid w:val="7EDB7BBE"/>
    <w:rsid w:val="7EE527EB"/>
    <w:rsid w:val="7F6C4CBA"/>
    <w:rsid w:val="7FC87EF6"/>
    <w:rsid w:val="7FD14B1D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53535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  <w:rPr>
      <w:i/>
    </w:rPr>
  </w:style>
  <w:style w:type="character" w:styleId="14">
    <w:name w:val="Hyperlink"/>
    <w:basedOn w:val="7"/>
    <w:qFormat/>
    <w:uiPriority w:val="0"/>
    <w:rPr>
      <w:color w:val="353535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  <w:rPr>
      <w:i/>
    </w:rPr>
  </w:style>
  <w:style w:type="character" w:customStyle="1" w:styleId="17">
    <w:name w:val="gwdtitle1"/>
    <w:basedOn w:val="7"/>
    <w:qFormat/>
    <w:uiPriority w:val="0"/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1817</Characters>
  <Lines>0</Lines>
  <Paragraphs>0</Paragraphs>
  <TotalTime>0</TotalTime>
  <ScaleCrop>false</ScaleCrop>
  <LinksUpToDate>false</LinksUpToDate>
  <CharactersWithSpaces>1874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叶中山</cp:lastModifiedBy>
  <cp:lastPrinted>2024-11-01T01:13:00Z</cp:lastPrinted>
  <dcterms:modified xsi:type="dcterms:W3CDTF">2024-11-04T01:05:39Z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C248332CE8054B8F8C6D46929F4E33DA</vt:lpwstr>
  </property>
</Properties>
</file>