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渝北区2022年人大票决重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点民生实事候选事项方案</w:t>
      </w:r>
      <w:r>
        <w:rPr>
          <w:rFonts w:hint="eastAsia" w:ascii="方正楷体_GBK" w:eastAsia="方正楷体_GBK"/>
          <w:sz w:val="44"/>
          <w:szCs w:val="44"/>
        </w:rPr>
        <w:t>（</w:t>
      </w:r>
      <w:r>
        <w:rPr>
          <w:rFonts w:hint="eastAsia" w:ascii="方正楷体_GBK" w:eastAsia="方正楷体_GBK"/>
          <w:sz w:val="44"/>
          <w:szCs w:val="44"/>
          <w:lang w:val="en-US" w:eastAsia="zh-CN"/>
        </w:rPr>
        <w:t>征求意见稿</w:t>
      </w:r>
      <w:r>
        <w:rPr>
          <w:rFonts w:hint="eastAsia" w:ascii="方正楷体_GBK" w:eastAsia="方正楷体_GBK"/>
          <w:sz w:val="44"/>
          <w:szCs w:val="44"/>
        </w:rPr>
        <w:t>）</w:t>
      </w:r>
    </w:p>
    <w:tbl>
      <w:tblPr>
        <w:tblStyle w:val="4"/>
        <w:tblW w:w="532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5"/>
        <w:gridCol w:w="1983"/>
        <w:gridCol w:w="912"/>
        <w:gridCol w:w="761"/>
        <w:gridCol w:w="764"/>
        <w:gridCol w:w="761"/>
        <w:gridCol w:w="655"/>
        <w:gridCol w:w="761"/>
        <w:gridCol w:w="764"/>
        <w:gridCol w:w="1521"/>
        <w:gridCol w:w="3746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1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序号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项目名称</w:t>
            </w:r>
          </w:p>
        </w:tc>
        <w:tc>
          <w:tcPr>
            <w:tcW w:w="6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主要任务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牵头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单位</w:t>
            </w:r>
          </w:p>
        </w:tc>
        <w:tc>
          <w:tcPr>
            <w:tcW w:w="5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spacing w:val="-12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kern w:val="0"/>
                <w:szCs w:val="21"/>
              </w:rPr>
              <w:t>年度投资（万元）</w:t>
            </w:r>
          </w:p>
        </w:tc>
        <w:tc>
          <w:tcPr>
            <w:tcW w:w="9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kern w:val="0"/>
                <w:szCs w:val="21"/>
              </w:rPr>
              <w:t>资金来源（万元）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责任单位</w:t>
            </w:r>
          </w:p>
        </w:tc>
        <w:tc>
          <w:tcPr>
            <w:tcW w:w="1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具体项目及绩效目标</w:t>
            </w:r>
          </w:p>
        </w:tc>
        <w:tc>
          <w:tcPr>
            <w:tcW w:w="2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  <w:jc w:val="center"/>
        </w:trPr>
        <w:tc>
          <w:tcPr>
            <w:tcW w:w="1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合计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小计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上级</w:t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资金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区级</w:t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财政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区属公司自筹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社会</w:t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投资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1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宋体" w:eastAsia="方正楷体_GBK" w:cs="宋体"/>
                <w:kern w:val="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Cs w:val="21"/>
              </w:rPr>
              <w:t>合计：共12件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93833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 xml:space="preserve">93833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12634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9479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53768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17952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　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hAnsi="Times New Roman" w:eastAsia="方正楷体_GBK" w:cs="Times New Roman"/>
                <w:kern w:val="0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城区交通缓堵促畅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完成7条道路单循环改造、5个路口交通组织优化；深入开展“多勤联动”市容（交通）秩序综合整治，进一步提升城区秩序综合管理水平；建成人行过街设施2个；实施渝北区分时段停车位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Cs w:val="21"/>
              </w:rPr>
              <w:t>建设工程，新增车位1900个；建成公共停车楼（场）4个，新增公共停车位750个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区公安分局、多勤联动队、区住建委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4030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公安分局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（交巡警支队）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1.实施单循环道路7条：宝圣东路一巷、金玉支路、金玉一支路、凯歌路后街、宝桐二路、凯歌三支路、一碗水后街。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2.交通组织优化路口5个：龙山三路与银桦路交叉路口、天竺路与龙园路、南北大道与通宝路、公园北路与公园东路、黄龙路与紫福路。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多勤联动队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3.完成市容（交通）秩序乱点整治并巩固提升整治成效。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临空基建公司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4.建成双湖路旭辉小学人行天桥、建成都市丽人医院人行天桥。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728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728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区重点建设和管线中心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5.实施渝北区分时段停车位建设工程，在回兴街道、宝圣湖街道等9个街道1个镇，选取17条道路，19个路段，增设分时段停车位，新增停车位1900个（不划线限时停车位1250个、划线限时停车位650个）。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6.建成数据谷中学东侧停车场项目，新增车位130个。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300 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7.建成鲁能泰山7号二期社会停车场项目，新增车位110个。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400 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8.建成鲁能城三期（商业）地下公共停车库项目，新增车位200个。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452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452 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9.建成桃源公园停车楼项目，新增车位310个。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中小学幼儿园建设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建成中小学3所、公办幼儿园3所。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区教委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36410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10000 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空港新城公司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1.建成腾芳中学。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2.建成悦港中学。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750 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保税港集团公司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3.建成举人坝小学。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3410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3410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城市更新公司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4.建成两路G28-3/02地块幼儿园。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2500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2500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空港新城公司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5.建成S27-2地块幼儿园。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区教委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6.建成云山岳小区配套幼儿园。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重点群体就业创业帮扶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新增城镇就业人员5万人，高校毕业生就业率达全市平均水平以上，零就业家庭保持动态清零；开展就业技能培训7000人次；发放创业担保贷款3000万元。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区人力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社保局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5280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4000 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区人力社保局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1.新增城镇就业人员5万人，高校毕业生就业率达全市平均水平以上，零就业家庭保持动态清零。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1100 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开展就业技能培训7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000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人次。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 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发放创业担保贷款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3000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万元。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医疗卫生服务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区中医院全面投用；建成龙兴中心卫生院PCR实验室；完成2个基层卫生单位维修改造；完成应急救护培训3.5万人次。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区卫生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健康委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1466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区中医院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临空基建公司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1.全面投用区中医院，新增床位600张。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区卫生健康委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2.建成龙兴中心卫生院PCR实验室。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3.完成龙兴中心卫生院业务用房维修。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4.完成悦来社区卫生服务中心新增业务用房装修。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5.完成应急救护培训3.5万人次。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老旧小区改造提升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完成20个老旧小区电力设施改造；完成20万平方米老旧小区楼本体改造任务。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区经济信息委、区住建委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5000 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区经济信息委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1.完成20个老旧小区电力设施改造。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1500 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3500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城市更新公司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2.完成花卉园片区20万平方米楼本体改造，包括可燃雨棚、防盗网、消防设施、房屋渗漏等。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失能特困人员集中照护及残疾人服务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实现各镇有意愿失能特困人员集中照护需求全覆盖；建成区救助管理站暨未成年人救助保护中心迁建项目；建成15个基层残疾人综合服务站；实施残疾人家庭无障碍改造350户，实现当年有需求的残疾人家庭无障碍改造全覆盖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区民政局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区残联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2311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684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684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区民政局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1.实现各镇有意愿失能特困人员集中照护需求全覆盖。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1391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1391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2.建成区救助管理站暨未成年人救助保护中心迁建项目，有效提高我区救助工作能力。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区残联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3.建成15个基层残疾人综合服务站。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4.实施残疾人家庭无障碍改造350户，实现当年有需求的残疾人家庭无障碍改造全覆盖。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车行道及人行道整治完善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完成30万平方米车行道提升改造；完成80公里人行道完善提升。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区城管局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3500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3600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spacing w:val="-24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4"/>
                <w:kern w:val="0"/>
                <w:szCs w:val="21"/>
              </w:rPr>
              <w:t>创新经济走廊公司</w:t>
            </w:r>
          </w:p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中交SPV公司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1.完成三龙片区、宝圣湖片区、回兴片区、前沿科技城片区约30万平方米车行道提升改造。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2200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2200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多勤联动队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中交SPV公司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2.完成三龙片区、宝圣湖片区、双龙湖片区等22条约20公里人行道完善提升；利用多勤联动开展约60公里人行道秩序整治。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文化体育惠民服务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新建和更换健身设施450件；建成山城步道10公里；新增24小时城市书房1个，开展送流动文化服务进村650场。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区体育中心、区住建委、区文化旅游委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4358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 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区体育中心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1.新建和更换健身设施450件。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3500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3500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空港新城公司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2.建成多宝湖步道6公里。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3.建成鹿山公园步道4公里。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区文化旅游委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4.开展送流动文化服务进村650场。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农村供水保障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完成2个水厂改扩建，改造和新增供水管道352.5公里，饮水安全受益人口4.5万人。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区水利局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2443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统景镇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kern w:val="0"/>
                <w:szCs w:val="21"/>
              </w:rPr>
              <w:t>1.完成统景镇场镇供水主管网改造，改造和新增管网229.7公里，受益3.8万人。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303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303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茨竹镇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kern w:val="0"/>
                <w:szCs w:val="21"/>
              </w:rPr>
              <w:t>2.完成茨竹镇华蓥村双水井水厂改扩建，改造和新增管网2.2公里，受益0.2万人。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木耳镇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3.完成木耳镇垭口水厂改扩建，改造和新增管网120.6公里，受益0.5万人。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食品安全保障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新培育“两品一标”农产品10个，全面实行食用农产品合格证制度，覆盖率达到100%。全年食品安全监督抽检达到4份/千人的标准，全区食品安全评价性抽检合格率达到98%或以上；全年无较大或以上等级食品安全事故发生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区农业农村委、区市场监管局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区农业农村委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1.全力推进农业标准化生产，新培育“两品一标”农产品10个；全面实行食用农产品合格证制度，覆盖率达到100%。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区市场监管局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2.全年食品安全监督抽检达到4份/千人的标准，全区食品安全评价性抽检合格率达到98%或以上；全年无较大或以上等级食品安全事故发生。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居民住房保障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建成27.5万平方米安置房，新增投用安置房2700套。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</w:rPr>
              <w:t>区征地事务中心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16980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6980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6980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区征地事务中心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1.建成投用阳光雅居征地农转城安置房（一期）项目（12-16号楼、地下车库及综合楼），新增安置房1500套，建筑面积15.8万平方米。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spacing w:val="-20"/>
                <w:kern w:val="0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10000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</w:rPr>
              <w:t>空港新城公司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2.建成投用空港新城桂馥家园两路片区安置房（二期），新增安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Cs w:val="21"/>
              </w:rPr>
              <w:t>置房1200套，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建筑面积11.7万平方米。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3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highlight w:val="none"/>
              </w:rPr>
              <w:t>城区公厕建造</w:t>
            </w:r>
          </w:p>
        </w:tc>
        <w:tc>
          <w:tcPr>
            <w:tcW w:w="6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highlight w:val="none"/>
              </w:rPr>
              <w:t>完成11座城区老旧公厕升级改造和4座新建公厕建设，改善群众生活环境。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Cs w:val="21"/>
                <w:highlight w:val="none"/>
              </w:rPr>
              <w:t>区城管局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 xml:space="preserve">1255 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 xml:space="preserve">805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 xml:space="preserve">805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Cs w:val="21"/>
                <w:highlight w:val="none"/>
              </w:rPr>
              <w:t>区城管局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highlight w:val="none"/>
              </w:rPr>
              <w:t>1.完成公厕改造11座，其中，三龙片区6座、大两路片区5座。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</w:p>
        </w:tc>
        <w:tc>
          <w:tcPr>
            <w:tcW w:w="3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 xml:space="preserve">450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 xml:space="preserve">450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highlight w:val="none"/>
              </w:rPr>
              <w:t>2.完成4座公厕建设。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2022.12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319"/>
    <w:rsid w:val="00144319"/>
    <w:rsid w:val="002216AB"/>
    <w:rsid w:val="002B03BB"/>
    <w:rsid w:val="002E275D"/>
    <w:rsid w:val="00510921"/>
    <w:rsid w:val="00777282"/>
    <w:rsid w:val="00AD577B"/>
    <w:rsid w:val="00AF55ED"/>
    <w:rsid w:val="00B0694F"/>
    <w:rsid w:val="00EA41CD"/>
    <w:rsid w:val="00F42B59"/>
    <w:rsid w:val="00F62952"/>
    <w:rsid w:val="163A5E1A"/>
    <w:rsid w:val="1F0D4D8D"/>
    <w:rsid w:val="4D5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619</Words>
  <Characters>3534</Characters>
  <Lines>29</Lines>
  <Paragraphs>8</Paragraphs>
  <TotalTime>78</TotalTime>
  <ScaleCrop>false</ScaleCrop>
  <LinksUpToDate>false</LinksUpToDate>
  <CharactersWithSpaces>4145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2021-12-09T02:18:00Z</dcterms:created>
  <dc:creator>pc-9</dc:creator>
  <cp:lastModifiedBy>cqxwy</cp:lastModifiedBy>
  <cp:lastPrinted>2021-12-09T03:23:00Z</cp:lastPrinted>
  <dcterms:modified xsi:type="dcterms:W3CDTF">2021-12-14T07:59:20Z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366125BA39A6410FBD52BD818E1D129B</vt:lpwstr>
  </property>
</Properties>
</file>