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shd w:val="clear" w:color="auto" w:fill="FFFFFF"/>
        <w:snapToGrid w:val="0"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重庆市渝北区财政局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关于废止规范性文件的通知</w:t>
      </w:r>
    </w:p>
    <w:p>
      <w:pPr>
        <w:shd w:val="clear" w:color="auto" w:fill="FFFFFF"/>
        <w:snapToGrid w:val="0"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</w:rPr>
        <w:t>渝北财规〔2023〕3号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相关单位：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right" w:pos="9186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为深入推进依法行政，推进法治政府建设，按照《重庆市行政规范性文件管理办法》（重庆市人民政府令第329号）有关规定</w:t>
      </w:r>
      <w:r>
        <w:rPr>
          <w:rFonts w:hint="default" w:ascii="Times New Roman" w:hAnsi="Times New Roman" w:cs="Times New Roman"/>
          <w:szCs w:val="32"/>
          <w:highlight w:val="none"/>
        </w:rPr>
        <w:t>，重庆市财政局重庆市林业局关于印发《重庆市森林生态效益补偿基金使用管理细则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highlight w:val="none"/>
        </w:rPr>
        <w:t>试行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highlight w:val="none"/>
        </w:rPr>
        <w:t>》的通知（渝财农〔2012〕25号）文件已于2017年12月18日在《重庆市林业改革发展资金管理实施细则（渝财农〔2017〕240号）中宣布废止。经研究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现拟对重庆市渝北区财政局重庆市渝北区林业局关于印发《重庆市渝北区森林生态效益补偿基金使用管理操作规程（试</w:t>
      </w:r>
      <w:r>
        <w:rPr>
          <w:rFonts w:hint="default" w:ascii="Times New Roman" w:hAnsi="Times New Roman" w:cs="Times New Roman"/>
          <w:szCs w:val="32"/>
        </w:rPr>
        <w:t>行）》的通知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渝北财农〔2012〕132号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规范性文件予以废止。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right" w:pos="9186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本通知自印发之日起施行。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right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rightChars="200" w:firstLine="800" w:firstLineChars="2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重庆市渝北区财政局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008" w:rightChars="315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2023年11月6日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重庆市渝北区财政局发布     </w:t>
    </w:r>
  </w:p>
  <w:p>
    <w:pPr>
      <w:pStyle w:val="9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jg3MDZhM2QxZmY3ZWM4NGRjYmMwOTU3YTdhNmQifQ=="/>
  </w:docVars>
  <w:rsids>
    <w:rsidRoot w:val="00172A27"/>
    <w:rsid w:val="00087AFA"/>
    <w:rsid w:val="00093503"/>
    <w:rsid w:val="000A5E7F"/>
    <w:rsid w:val="00150ED1"/>
    <w:rsid w:val="00172A27"/>
    <w:rsid w:val="00184B7E"/>
    <w:rsid w:val="0029105F"/>
    <w:rsid w:val="00495B78"/>
    <w:rsid w:val="005209E0"/>
    <w:rsid w:val="00557764"/>
    <w:rsid w:val="00560795"/>
    <w:rsid w:val="005D28F9"/>
    <w:rsid w:val="006A1662"/>
    <w:rsid w:val="006F0C81"/>
    <w:rsid w:val="008360EA"/>
    <w:rsid w:val="009A5622"/>
    <w:rsid w:val="00AD6346"/>
    <w:rsid w:val="00AE08D1"/>
    <w:rsid w:val="00C628ED"/>
    <w:rsid w:val="00CD0FE0"/>
    <w:rsid w:val="00D45B07"/>
    <w:rsid w:val="00FE5787"/>
    <w:rsid w:val="019E71BD"/>
    <w:rsid w:val="023B4F36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08362EE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0047DC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BE3FDD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8BC189F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7FE10322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码1"/>
    <w:basedOn w:val="13"/>
    <w:qFormat/>
    <w:uiPriority w:val="0"/>
    <w:rPr>
      <w:rFonts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8">
    <w:name w:val="NormalCharacter"/>
    <w:link w:val="19"/>
    <w:qFormat/>
    <w:uiPriority w:val="0"/>
  </w:style>
  <w:style w:type="paragraph" w:customStyle="1" w:styleId="19">
    <w:name w:val="UserStyle_1"/>
    <w:basedOn w:val="1"/>
    <w:link w:val="18"/>
    <w:qFormat/>
    <w:uiPriority w:val="0"/>
    <w:pPr>
      <w:widowControl/>
      <w:spacing w:line="856" w:lineRule="atLeast"/>
      <w:textAlignment w:val="baseline"/>
    </w:pPr>
  </w:style>
  <w:style w:type="character" w:customStyle="1" w:styleId="20">
    <w:name w:val="批注框文本 Char"/>
    <w:basedOn w:val="13"/>
    <w:link w:val="7"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1">
    <w:name w:val="日期 Char"/>
    <w:basedOn w:val="13"/>
    <w:link w:val="6"/>
    <w:uiPriority w:val="0"/>
    <w:rPr>
      <w:rFonts w:eastAsia="方正仿宋_GBK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337</Characters>
  <Lines>2</Lines>
  <Paragraphs>1</Paragraphs>
  <TotalTime>6</TotalTime>
  <ScaleCrop>false</ScaleCrop>
  <LinksUpToDate>false</LinksUpToDate>
  <CharactersWithSpaces>368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2023-11-15T09:27:00Z</dcterms:created>
  <dc:creator>t</dc:creator>
  <cp:lastModifiedBy>Administrator</cp:lastModifiedBy>
  <cp:lastPrinted>2023-11-15T09:27:00Z</cp:lastPrinted>
  <dcterms:modified xsi:type="dcterms:W3CDTF">2023-11-20T01:34:02Z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4D3E9C99F49E46A4980C7A58502F5733_13</vt:lpwstr>
  </property>
</Properties>
</file>